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附件：</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b/>
          <w:bCs/>
          <w:sz w:val="32"/>
          <w:szCs w:val="40"/>
          <w:lang w:val="en-US" w:eastAsia="zh-CN"/>
        </w:rPr>
      </w:pPr>
      <w:r>
        <w:rPr>
          <w:rFonts w:hint="eastAsia"/>
          <w:b/>
          <w:bCs/>
          <w:sz w:val="32"/>
          <w:szCs w:val="40"/>
          <w:lang w:val="en-US" w:eastAsia="zh-CN"/>
        </w:rPr>
        <w:t>“深圳市物流与供应链管理协会七届二次会员代表大会暨物流与供应链行业发展形势分析会”参会回执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3"/>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703"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企业名称</w:t>
            </w:r>
          </w:p>
        </w:tc>
        <w:tc>
          <w:tcPr>
            <w:tcW w:w="6815" w:type="dxa"/>
            <w:gridSpan w:val="4"/>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703"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参会人员姓名</w:t>
            </w:r>
          </w:p>
        </w:tc>
        <w:tc>
          <w:tcPr>
            <w:tcW w:w="1703"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职  务</w:t>
            </w:r>
          </w:p>
        </w:tc>
        <w:tc>
          <w:tcPr>
            <w:tcW w:w="1704"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手机号码</w:t>
            </w:r>
          </w:p>
        </w:tc>
        <w:tc>
          <w:tcPr>
            <w:tcW w:w="1704"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邮  箱</w:t>
            </w:r>
          </w:p>
        </w:tc>
        <w:tc>
          <w:tcPr>
            <w:tcW w:w="1704"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703" w:type="dxa"/>
            <w:vAlign w:val="center"/>
          </w:tcPr>
          <w:p>
            <w:pPr>
              <w:jc w:val="center"/>
              <w:rPr>
                <w:rFonts w:hint="eastAsia" w:ascii="仿宋" w:hAnsi="仿宋" w:eastAsia="仿宋" w:cs="仿宋"/>
                <w:b w:val="0"/>
                <w:bCs w:val="0"/>
                <w:sz w:val="24"/>
                <w:szCs w:val="24"/>
                <w:vertAlign w:val="baseline"/>
                <w:lang w:val="en-US" w:eastAsia="zh-CN"/>
              </w:rPr>
            </w:pPr>
          </w:p>
        </w:tc>
        <w:tc>
          <w:tcPr>
            <w:tcW w:w="1703" w:type="dxa"/>
            <w:vAlign w:val="center"/>
          </w:tcPr>
          <w:p>
            <w:pPr>
              <w:jc w:val="center"/>
              <w:rPr>
                <w:rFonts w:hint="eastAsia" w:ascii="仿宋" w:hAnsi="仿宋" w:eastAsia="仿宋" w:cs="仿宋"/>
                <w:b w:val="0"/>
                <w:bCs w:val="0"/>
                <w:sz w:val="24"/>
                <w:szCs w:val="24"/>
                <w:vertAlign w:val="baseline"/>
                <w:lang w:val="en-US" w:eastAsia="zh-CN"/>
              </w:rPr>
            </w:pPr>
          </w:p>
        </w:tc>
        <w:tc>
          <w:tcPr>
            <w:tcW w:w="1704" w:type="dxa"/>
            <w:vAlign w:val="center"/>
          </w:tcPr>
          <w:p>
            <w:pPr>
              <w:jc w:val="center"/>
              <w:rPr>
                <w:rFonts w:hint="eastAsia" w:ascii="仿宋" w:hAnsi="仿宋" w:eastAsia="仿宋" w:cs="仿宋"/>
                <w:b w:val="0"/>
                <w:bCs w:val="0"/>
                <w:sz w:val="24"/>
                <w:szCs w:val="24"/>
                <w:vertAlign w:val="baseline"/>
                <w:lang w:val="en-US" w:eastAsia="zh-CN"/>
              </w:rPr>
            </w:pPr>
          </w:p>
        </w:tc>
        <w:tc>
          <w:tcPr>
            <w:tcW w:w="1704" w:type="dxa"/>
            <w:vAlign w:val="center"/>
          </w:tcPr>
          <w:p>
            <w:pPr>
              <w:jc w:val="center"/>
              <w:rPr>
                <w:rFonts w:hint="eastAsia" w:ascii="仿宋" w:hAnsi="仿宋" w:eastAsia="仿宋" w:cs="仿宋"/>
                <w:b w:val="0"/>
                <w:bCs w:val="0"/>
                <w:sz w:val="24"/>
                <w:szCs w:val="24"/>
                <w:vertAlign w:val="baseline"/>
                <w:lang w:val="en-US" w:eastAsia="zh-CN"/>
              </w:rPr>
            </w:pPr>
          </w:p>
        </w:tc>
        <w:tc>
          <w:tcPr>
            <w:tcW w:w="1704" w:type="dxa"/>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703" w:type="dxa"/>
            <w:vAlign w:val="center"/>
          </w:tcPr>
          <w:p>
            <w:pPr>
              <w:jc w:val="center"/>
              <w:rPr>
                <w:rFonts w:hint="eastAsia" w:ascii="仿宋" w:hAnsi="仿宋" w:eastAsia="仿宋" w:cs="仿宋"/>
                <w:b w:val="0"/>
                <w:bCs w:val="0"/>
                <w:sz w:val="24"/>
                <w:szCs w:val="24"/>
                <w:vertAlign w:val="baseline"/>
                <w:lang w:val="en-US" w:eastAsia="zh-CN"/>
              </w:rPr>
            </w:pPr>
          </w:p>
        </w:tc>
        <w:tc>
          <w:tcPr>
            <w:tcW w:w="1703" w:type="dxa"/>
            <w:vAlign w:val="center"/>
          </w:tcPr>
          <w:p>
            <w:pPr>
              <w:jc w:val="center"/>
              <w:rPr>
                <w:rFonts w:hint="eastAsia" w:ascii="仿宋" w:hAnsi="仿宋" w:eastAsia="仿宋" w:cs="仿宋"/>
                <w:b w:val="0"/>
                <w:bCs w:val="0"/>
                <w:sz w:val="24"/>
                <w:szCs w:val="24"/>
                <w:vertAlign w:val="baseline"/>
                <w:lang w:val="en-US" w:eastAsia="zh-CN"/>
              </w:rPr>
            </w:pPr>
          </w:p>
        </w:tc>
        <w:tc>
          <w:tcPr>
            <w:tcW w:w="1704" w:type="dxa"/>
            <w:vAlign w:val="center"/>
          </w:tcPr>
          <w:p>
            <w:pPr>
              <w:jc w:val="center"/>
              <w:rPr>
                <w:rFonts w:hint="eastAsia" w:ascii="仿宋" w:hAnsi="仿宋" w:eastAsia="仿宋" w:cs="仿宋"/>
                <w:b w:val="0"/>
                <w:bCs w:val="0"/>
                <w:sz w:val="24"/>
                <w:szCs w:val="24"/>
                <w:vertAlign w:val="baseline"/>
                <w:lang w:val="en-US" w:eastAsia="zh-CN"/>
              </w:rPr>
            </w:pPr>
          </w:p>
        </w:tc>
        <w:tc>
          <w:tcPr>
            <w:tcW w:w="1704" w:type="dxa"/>
            <w:vAlign w:val="center"/>
          </w:tcPr>
          <w:p>
            <w:pPr>
              <w:jc w:val="center"/>
              <w:rPr>
                <w:rFonts w:hint="eastAsia" w:ascii="仿宋" w:hAnsi="仿宋" w:eastAsia="仿宋" w:cs="仿宋"/>
                <w:b w:val="0"/>
                <w:bCs w:val="0"/>
                <w:sz w:val="24"/>
                <w:szCs w:val="24"/>
                <w:vertAlign w:val="baseline"/>
                <w:lang w:val="en-US" w:eastAsia="zh-CN"/>
              </w:rPr>
            </w:pPr>
          </w:p>
        </w:tc>
        <w:tc>
          <w:tcPr>
            <w:tcW w:w="1704" w:type="dxa"/>
            <w:vAlign w:val="center"/>
          </w:tcPr>
          <w:p>
            <w:p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1703"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当前企业发展过程中遇到的困难或者对行业未来发展的一些建议</w:t>
            </w:r>
          </w:p>
        </w:tc>
        <w:tc>
          <w:tcPr>
            <w:tcW w:w="6815" w:type="dxa"/>
            <w:gridSpan w:val="4"/>
            <w:vAlign w:val="center"/>
          </w:tcPr>
          <w:p>
            <w:pPr>
              <w:jc w:val="center"/>
              <w:rPr>
                <w:rFonts w:hint="eastAsia" w:ascii="仿宋" w:hAnsi="仿宋" w:eastAsia="仿宋" w:cs="仿宋"/>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（请完整填写《参会回执》，并于10月19日（周二</w:t>
      </w:r>
      <w:bookmarkStart w:id="0" w:name="_GoBack"/>
      <w:bookmarkEnd w:id="0"/>
      <w:r>
        <w:rPr>
          <w:rFonts w:hint="eastAsia" w:ascii="仿宋" w:hAnsi="仿宋" w:eastAsia="仿宋" w:cs="仿宋"/>
          <w:b/>
          <w:bCs/>
          <w:sz w:val="24"/>
          <w:szCs w:val="32"/>
          <w:lang w:val="en-US" w:eastAsia="zh-CN"/>
        </w:rPr>
        <w:t>）下午下班前反馈至协会邮箱wlxh@lasp.org.cn，谢谢。）</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117AD"/>
    <w:rsid w:val="4DCE0E29"/>
    <w:rsid w:val="71BD0DB8"/>
    <w:rsid w:val="7E611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2021-10-15T10:13:00Z</dcterms:created>
  <dc:creator>深圳物流协会窦光</dc:creator>
  <cp:lastModifiedBy>LO-YUANTING</cp:lastModifiedBy>
  <dcterms:modified xsi:type="dcterms:W3CDTF">2021-10-18T01:11:56Z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49597731EB214F2A95F9DBD4A89D8CC1</vt:lpwstr>
  </property>
</Properties>
</file>