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r>
              <w:rPr>
                <w:rFonts w:hint="eastAsia" w:ascii="黑体" w:hAnsi="黑体" w:eastAsia="黑体"/>
                <w:sz w:val="21"/>
                <w:szCs w:val="21"/>
              </w:rPr>
              <w:t>0</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3.220.20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r>
              <w:rPr>
                <w:rFonts w:hint="eastAsia" w:ascii="Times New Roman" w:hAnsi="Times New Roman" w:eastAsia="黑体"/>
                <w:sz w:val="21"/>
                <w:szCs w:val="21"/>
              </w:rPr>
              <w:t xml:space="preserve"> </w:t>
            </w:r>
            <w:r>
              <w:rPr>
                <w:rFonts w:ascii="Times New Roman" w:hAnsi="Times New Roman" w:eastAsia="黑体"/>
                <w:sz w:val="21"/>
                <w:szCs w:val="21"/>
              </w:rPr>
              <w:t xml:space="preserve">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rPr>
                      <w:sz w:val="21"/>
                      <w:szCs w:val="21"/>
                    </w:rPr>
                    <w:t xml:space="preserve"> </w:t>
                  </w:r>
                  <w:r>
                    <w:fldChar w:fldCharType="begin">
                      <w:ffData>
                        <w:name w:val="c1"/>
                        <w:enabled/>
                        <w:calcOnExit w:val="0"/>
                        <w:textInput>
                          <w:maxLength w:val="7"/>
                        </w:textInput>
                      </w:ffData>
                    </w:fldChar>
                  </w:r>
                  <w:bookmarkStart w:id="0" w:name="c1"/>
                  <w:r>
                    <w:instrText xml:space="preserve"> FORMTEXT </w:instrText>
                  </w:r>
                  <w:r>
                    <w:fldChar w:fldCharType="separate"/>
                  </w:r>
                  <w:r>
                    <w:t>     </w:t>
                  </w:r>
                  <w:r>
                    <w:fldChar w:fldCharType="end"/>
                  </w:r>
                  <w:bookmarkEnd w:id="0"/>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R06</w:t>
            </w:r>
          </w:p>
        </w:tc>
      </w:tr>
    </w:tbl>
    <w:p>
      <w:pPr>
        <w:pStyle w:val="51"/>
        <w:framePr w:w="9639" w:h="624" w:hRule="exact" w:hSpace="181" w:vSpace="181" w:wrap="around" w:hAnchor="page" w:x="1305" w:y="2269"/>
        <w:rPr>
          <w:rFonts w:ascii="黑体" w:hAnsi="黑体" w:eastAsia="黑体"/>
          <w:b w:val="0"/>
          <w:bCs w:val="0"/>
          <w:w w:val="100"/>
          <w:sz w:val="48"/>
          <w:szCs w:val="48"/>
        </w:rPr>
      </w:pPr>
      <w:bookmarkStart w:id="1"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1"/>
    <w:p>
      <w:pPr>
        <w:pStyle w:val="196"/>
      </w:pPr>
      <w:r>
        <w:t>T/</w:t>
      </w:r>
      <w:r>
        <w:rPr>
          <w:rFonts w:hint="eastAsia"/>
        </w:rPr>
        <w:t>xxx</w:t>
      </w:r>
      <w:r>
        <w:rPr>
          <w:rFonts w:hAnsi="黑体"/>
        </w:rPr>
        <w:t>—</w:t>
      </w:r>
      <w:r>
        <w:rPr>
          <w:rFonts w:hint="eastAsia"/>
        </w:rPr>
        <w:t>2023</w:t>
      </w:r>
    </w:p>
    <w:p>
      <w:pPr>
        <w:pStyle w:val="197"/>
        <w:rPr>
          <w:rFonts w:hAnsi="黑体"/>
        </w:rPr>
      </w:pPr>
      <w:r>
        <w:rPr>
          <w:rFonts w:hAnsi="黑体"/>
        </w:rPr>
        <w:fldChar w:fldCharType="begin">
          <w:ffData>
            <w:name w:val="OSTD_CODE"/>
            <w:enabled/>
            <w:calcOnExit w:val="0"/>
            <w:textInput/>
          </w:ffData>
        </w:fldChar>
      </w:r>
      <w:bookmarkStart w:id="2"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2"/>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rPr>
          <w:rFonts w:hint="eastAsia"/>
        </w:rPr>
        <w:t>绿色低碳道路货运企业要求及评价细则</w:t>
      </w:r>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t>Requirements and detailed rules for green low-carbon road freight enterprises</w:t>
      </w: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rFonts w:ascii="宋体" w:hAnsi="宋体"/>
          <w:sz w:val="24"/>
          <w:szCs w:val="28"/>
          <w:shd w:val="clear" w:color="FFFFFF" w:fill="D9D9D9"/>
        </w:rPr>
      </w:pPr>
      <w:r>
        <w:rPr>
          <w:rFonts w:hint="eastAsia" w:ascii="宋体" w:hAnsi="宋体"/>
          <w:sz w:val="24"/>
          <w:szCs w:val="28"/>
        </w:rPr>
        <w:t xml:space="preserve"> (征求意见稿)</w:t>
      </w:r>
      <w:r>
        <w:rPr>
          <w:rFonts w:ascii="宋体" w:hAnsi="宋体"/>
          <w:sz w:val="24"/>
          <w:szCs w:val="28"/>
          <w:shd w:val="clear" w:color="FFFFFF" w:fill="D9D9D9"/>
        </w:rPr>
        <w:fldChar w:fldCharType="begin">
          <w:ffData>
            <w:enabled/>
            <w:calcOnExit w:val="0"/>
            <w:ddList>
              <w:listEntry w:val=" "/>
              <w:listEntry w:val="草案版次选择"/>
              <w:listEntry w:val="（工作组讨论稿）"/>
              <w:listEntry w:val="（送审讨论稿）"/>
              <w:listEntry w:val="（送审稿）"/>
              <w:listEntry w:val="（报批稿）"/>
              <w:listEntry w:val="（征求意见稿）"/>
            </w:ddList>
          </w:ffData>
        </w:fldChar>
      </w:r>
      <w:r>
        <w:rPr>
          <w:rFonts w:ascii="宋体" w:hAnsi="宋体"/>
          <w:sz w:val="24"/>
          <w:szCs w:val="28"/>
          <w:shd w:val="clear" w:color="FFFFFF" w:fill="D9D9D9"/>
        </w:rPr>
        <w:instrText xml:space="preserve"> FORMDROPDOWN </w:instrText>
      </w:r>
      <w:r>
        <w:rPr>
          <w:rFonts w:ascii="宋体" w:hAnsi="宋体"/>
          <w:sz w:val="24"/>
          <w:szCs w:val="28"/>
          <w:shd w:val="clear" w:color="FFFFFF" w:fill="D9D9D9"/>
        </w:rPr>
        <w:fldChar w:fldCharType="separate"/>
      </w:r>
      <w:r>
        <w:rPr>
          <w:rFonts w:ascii="宋体" w:hAnsi="宋体"/>
          <w:sz w:val="24"/>
          <w:szCs w:val="28"/>
          <w:shd w:val="clear" w:color="FFFFFF" w:fill="D9D9D9"/>
        </w:rPr>
        <w:fldChar w:fldCharType="end"/>
      </w:r>
    </w:p>
    <w:p>
      <w:pPr>
        <w:pStyle w:val="126"/>
        <w:framePr w:w="9639" w:h="6974" w:hRule="exact" w:wrap="around" w:vAnchor="page" w:hAnchor="page" w:x="1419" w:y="6408" w:anchorLock="1"/>
        <w:spacing w:before="180" w:line="240" w:lineRule="atLeast"/>
        <w:textAlignment w:val="bottom"/>
        <w:rPr>
          <w:sz w:val="21"/>
          <w:szCs w:val="28"/>
          <w:shd w:val="clear" w:color="FFFFFF" w:fill="D9D9D9"/>
        </w:rPr>
      </w:pPr>
      <w:r>
        <w:rPr>
          <w:sz w:val="21"/>
          <w:szCs w:val="28"/>
          <w:shd w:val="clear" w:color="FFFFFF" w:fill="D9D9D9"/>
        </w:rPr>
        <w:fldChar w:fldCharType="begin">
          <w:ffData>
            <w:name w:val="CMPLSH_DATE"/>
            <w:enabled/>
            <w:calcOnExit w:val="0"/>
            <w:textInput/>
          </w:ffData>
        </w:fldChar>
      </w:r>
      <w:bookmarkStart w:id="3" w:name="CMPLSH_DATE"/>
      <w:r>
        <w:rPr>
          <w:sz w:val="21"/>
          <w:szCs w:val="28"/>
          <w:shd w:val="clear" w:color="FFFFFF" w:fill="D9D9D9"/>
        </w:rPr>
        <w:instrText xml:space="preserve"> FORMTEXT </w:instrText>
      </w:r>
      <w:r>
        <w:rPr>
          <w:sz w:val="21"/>
          <w:szCs w:val="28"/>
          <w:shd w:val="clear" w:color="FFFFFF" w:fill="D9D9D9"/>
        </w:rPr>
        <w:fldChar w:fldCharType="separate"/>
      </w:r>
      <w:r>
        <w:rPr>
          <w:sz w:val="21"/>
          <w:szCs w:val="28"/>
          <w:shd w:val="clear" w:color="FFFFFF" w:fill="D9D9D9"/>
        </w:rPr>
        <w:t>     </w:t>
      </w:r>
      <w:r>
        <w:rPr>
          <w:sz w:val="21"/>
          <w:szCs w:val="28"/>
          <w:shd w:val="clear" w:color="FFFFFF" w:fill="D9D9D9"/>
        </w:rPr>
        <w:fldChar w:fldCharType="end"/>
      </w:r>
      <w:bookmarkEnd w:id="3"/>
    </w:p>
    <w:p>
      <w:pPr>
        <w:pStyle w:val="126"/>
        <w:framePr w:w="9639" w:h="6974" w:hRule="exact" w:wrap="around" w:vAnchor="page" w:hAnchor="page" w:x="1419" w:y="6408" w:anchorLock="1"/>
        <w:spacing w:beforeLines="300" w:afterLines="30" w:line="240" w:lineRule="auto"/>
        <w:textAlignment w:val="bottom"/>
        <w:rPr>
          <w:b/>
          <w:sz w:val="21"/>
          <w:szCs w:val="28"/>
          <w:shd w:val="clear" w:color="FFFFFF" w:fill="D9D9D9"/>
        </w:rPr>
      </w:pPr>
      <w:r>
        <w:rPr>
          <w:b/>
          <w:sz w:val="21"/>
          <w:szCs w:val="28"/>
          <w:shd w:val="clear" w:color="FFFFFF" w:fill="D9D9D9"/>
        </w:rPr>
        <w:fldChar w:fldCharType="begin">
          <w:ffData>
            <w:name w:val="下拉2"/>
            <w:enabled/>
            <w:calcOnExit w:val="0"/>
            <w:ddList>
              <w:listEntry w:val=" "/>
              <w:listEntry w:val="在提交反馈意见时，请将您知道的相关专利连同支持性文件一并附上。"/>
            </w:ddList>
          </w:ffData>
        </w:fldChar>
      </w:r>
      <w:bookmarkStart w:id="4" w:name="下拉2"/>
      <w:r>
        <w:rPr>
          <w:b/>
          <w:sz w:val="21"/>
          <w:szCs w:val="28"/>
          <w:shd w:val="clear" w:color="FFFFFF" w:fill="D9D9D9"/>
        </w:rPr>
        <w:instrText xml:space="preserve"> FORMDROPDOWN </w:instrText>
      </w:r>
      <w:r>
        <w:rPr>
          <w:b/>
          <w:sz w:val="21"/>
          <w:szCs w:val="28"/>
          <w:shd w:val="clear" w:color="FFFFFF" w:fill="D9D9D9"/>
        </w:rPr>
        <w:fldChar w:fldCharType="separate"/>
      </w:r>
      <w:r>
        <w:rPr>
          <w:b/>
          <w:sz w:val="21"/>
          <w:szCs w:val="28"/>
          <w:shd w:val="clear" w:color="FFFFFF" w:fill="D9D9D9"/>
        </w:rPr>
        <w:fldChar w:fldCharType="end"/>
      </w:r>
      <w:bookmarkEnd w:id="4"/>
    </w:p>
    <w:p>
      <w:pPr>
        <w:pStyle w:val="194"/>
        <w:framePr w:wrap="around" w:y="14176"/>
      </w:pPr>
      <w:r>
        <w:rPr>
          <w:rFonts w:hint="eastAsia" w:ascii="黑体"/>
        </w:rPr>
        <w:t>2023</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p>
    <w:p>
      <w:pPr>
        <w:pStyle w:val="195"/>
        <w:framePr w:wrap="around" w:y="14176"/>
      </w:pPr>
      <w:r>
        <w:rPr>
          <w:rFonts w:hint="eastAsia" w:ascii="黑体"/>
        </w:rPr>
        <w:t>2023</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152"/>
        <w:framePr w:h="584" w:hRule="exact" w:hSpace="181" w:vSpace="181" w:wrap="around" w:y="14800"/>
        <w:rPr>
          <w:rFonts w:hAnsi="黑体"/>
        </w:rPr>
      </w:pPr>
      <w:r>
        <w:rPr>
          <w:rFonts w:hint="eastAsia" w:hAnsi="黑体"/>
          <w:w w:val="100"/>
          <w:sz w:val="28"/>
        </w:rPr>
        <w:t>xxxx</w:t>
      </w:r>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path arrowok="t"/>
            <v:fill focussize="0,0"/>
            <v:stroke/>
            <v:imagedata o:title=""/>
            <o:lock v:ext="edit"/>
            <w10:anchorlock/>
          </v:line>
        </w:pict>
      </w:r>
    </w:p>
    <w:p>
      <w:pPr>
        <w:pStyle w:val="92"/>
        <w:spacing w:after="360"/>
      </w:pPr>
      <w:bookmarkStart w:id="5"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\t "标准文件_一级条标题,2,标准文件_二级条标题,3,标准文件_三级条标题,4,标准文件_附录一级条标题,2,标准文件_附录二级条标题,3,标准文件_附录三级条标题,4,"</w:instrText>
      </w:r>
      <w:r>
        <w:instrText xml:space="preserve"> </w:instrText>
      </w:r>
      <w:r>
        <w:fldChar w:fldCharType="separate"/>
      </w:r>
      <w:r>
        <w:fldChar w:fldCharType="begin"/>
      </w:r>
      <w:r>
        <w:instrText xml:space="preserve"> HYPERLINK \l "_Toc142556995" </w:instrText>
      </w:r>
      <w:r>
        <w:fldChar w:fldCharType="separate"/>
      </w:r>
      <w:r>
        <w:rPr>
          <w:rStyle w:val="33"/>
          <w:rFonts w:hint="eastAsia"/>
        </w:rPr>
        <w:t>前言</w:t>
      </w:r>
      <w:r>
        <w:tab/>
      </w:r>
      <w:r>
        <w:fldChar w:fldCharType="begin"/>
      </w:r>
      <w:r>
        <w:instrText xml:space="preserve"> PAGEREF _Toc142556995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"_Toc142556996" </w:instrText>
      </w:r>
      <w:r>
        <w:fldChar w:fldCharType="separate"/>
      </w:r>
      <w:r>
        <w:rPr>
          <w:rStyle w:val="33"/>
        </w:rPr>
        <w:t>1</w:t>
      </w:r>
      <w:r>
        <w:rPr>
          <w:rStyle w:val="33"/>
          <w:rFonts w:hint="eastAsia"/>
        </w:rPr>
        <w:t xml:space="preserve"> 范围</w:t>
      </w:r>
      <w:r>
        <w:tab/>
      </w:r>
      <w:r>
        <w:fldChar w:fldCharType="begin"/>
      </w:r>
      <w:r>
        <w:instrText xml:space="preserve"> PAGEREF _Toc142556996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"_Toc142556997" </w:instrText>
      </w:r>
      <w:r>
        <w:fldChar w:fldCharType="separate"/>
      </w:r>
      <w:r>
        <w:rPr>
          <w:rStyle w:val="33"/>
        </w:rPr>
        <w:t>2</w:t>
      </w:r>
      <w:r>
        <w:rPr>
          <w:rStyle w:val="33"/>
          <w:rFonts w:hint="eastAsia"/>
        </w:rPr>
        <w:t xml:space="preserve"> 规范性引用文件</w:t>
      </w:r>
      <w:r>
        <w:tab/>
      </w:r>
      <w:r>
        <w:fldChar w:fldCharType="begin"/>
      </w:r>
      <w:r>
        <w:instrText xml:space="preserve"> PAGEREF _Toc142556997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"_Toc142556998" </w:instrText>
      </w:r>
      <w:r>
        <w:fldChar w:fldCharType="separate"/>
      </w:r>
      <w:r>
        <w:rPr>
          <w:rStyle w:val="33"/>
        </w:rPr>
        <w:t>3</w:t>
      </w:r>
      <w:r>
        <w:rPr>
          <w:rStyle w:val="33"/>
          <w:rFonts w:hint="eastAsia"/>
        </w:rPr>
        <w:t xml:space="preserve"> 术语和定义</w:t>
      </w:r>
      <w:r>
        <w:tab/>
      </w:r>
      <w:r>
        <w:fldChar w:fldCharType="begin"/>
      </w:r>
      <w:r>
        <w:instrText xml:space="preserve"> PAGEREF _Toc142556998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"_Toc142557010" </w:instrText>
      </w:r>
      <w:r>
        <w:fldChar w:fldCharType="separate"/>
      </w:r>
      <w:r>
        <w:rPr>
          <w:rStyle w:val="33"/>
        </w:rPr>
        <w:t>4</w:t>
      </w:r>
      <w:r>
        <w:rPr>
          <w:rStyle w:val="33"/>
          <w:rFonts w:hint="eastAsia"/>
        </w:rPr>
        <w:t xml:space="preserve"> 基本要求</w:t>
      </w:r>
      <w:r>
        <w:tab/>
      </w:r>
      <w:r>
        <w:rPr>
          <w:rFonts w:hint="eastAsia"/>
          <w:lang w:val="en-US" w:eastAsia="zh-CN"/>
        </w:rPr>
        <w:t>1</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"_Toc142557011" </w:instrText>
      </w:r>
      <w:r>
        <w:fldChar w:fldCharType="separate"/>
      </w:r>
      <w:r>
        <w:rPr>
          <w:rStyle w:val="33"/>
        </w:rPr>
        <w:t>5</w:t>
      </w:r>
      <w:r>
        <w:rPr>
          <w:rStyle w:val="33"/>
          <w:rFonts w:hint="eastAsia"/>
        </w:rPr>
        <w:t xml:space="preserve"> 评价原则</w:t>
      </w:r>
      <w:r>
        <w:tab/>
      </w:r>
      <w:r>
        <w:fldChar w:fldCharType="begin"/>
      </w:r>
      <w:r>
        <w:instrText xml:space="preserve"> PAGEREF _Toc142557011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"_Toc142557015" </w:instrText>
      </w:r>
      <w:r>
        <w:fldChar w:fldCharType="separate"/>
      </w:r>
      <w:r>
        <w:rPr>
          <w:rStyle w:val="33"/>
        </w:rPr>
        <w:t>6</w:t>
      </w:r>
      <w:r>
        <w:rPr>
          <w:rStyle w:val="33"/>
          <w:rFonts w:hint="eastAsia"/>
        </w:rPr>
        <w:t xml:space="preserve"> 评价指标体系</w:t>
      </w:r>
      <w:r>
        <w:tab/>
      </w:r>
      <w:r>
        <w:fldChar w:fldCharType="begin"/>
      </w:r>
      <w:r>
        <w:instrText xml:space="preserve"> PAGEREF _Toc142557015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"_Toc142557016" </w:instrText>
      </w:r>
      <w:r>
        <w:fldChar w:fldCharType="separate"/>
      </w:r>
      <w:r>
        <w:rPr>
          <w:rStyle w:val="33"/>
        </w:rPr>
        <w:t>7</w:t>
      </w:r>
      <w:r>
        <w:rPr>
          <w:rStyle w:val="33"/>
          <w:rFonts w:hint="eastAsia"/>
        </w:rPr>
        <w:t xml:space="preserve"> 评价方法</w:t>
      </w:r>
      <w:r>
        <w:tab/>
      </w:r>
      <w:r>
        <w:fldChar w:fldCharType="begin"/>
      </w:r>
      <w:r>
        <w:instrText xml:space="preserve"> PAGEREF _Toc142557016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"_Toc142557017" </w:instrText>
      </w:r>
      <w:r>
        <w:fldChar w:fldCharType="separate"/>
      </w:r>
      <w:r>
        <w:rPr>
          <w:rStyle w:val="33"/>
          <w:rFonts w:hint="eastAsia"/>
        </w:rPr>
        <w:t>附录A（资料性）绿色低碳道路货运企业评价指标评价细则</w:t>
      </w:r>
      <w:r>
        <w:tab/>
      </w:r>
      <w:r>
        <w:fldChar w:fldCharType="begin"/>
      </w:r>
      <w:r>
        <w:instrText xml:space="preserve"> PAGEREF _Toc142557017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"_Toc142557018" </w:instrText>
      </w:r>
      <w:r>
        <w:fldChar w:fldCharType="separate"/>
      </w:r>
      <w:r>
        <w:rPr>
          <w:rStyle w:val="33"/>
          <w:rFonts w:hint="eastAsia"/>
        </w:rPr>
        <w:t>参考文献</w:t>
      </w:r>
      <w:r>
        <w:tab/>
      </w:r>
      <w:r>
        <w:fldChar w:fldCharType="begin"/>
      </w:r>
      <w:r>
        <w:instrText xml:space="preserve"> PAGEREF _Toc142557018 \h </w:instrText>
      </w:r>
      <w:r>
        <w:fldChar w:fldCharType="separate"/>
      </w:r>
      <w:r>
        <w:t>6</w:t>
      </w:r>
      <w:r>
        <w:fldChar w:fldCharType="end"/>
      </w:r>
      <w:r>
        <w:fldChar w:fldCharType="end"/>
      </w:r>
    </w:p>
    <w:p>
      <w:pPr>
        <w:pStyle w:val="92"/>
        <w:spacing w:after="360"/>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5"/>
    <w:p>
      <w:pPr>
        <w:pStyle w:val="90"/>
        <w:spacing w:after="360"/>
      </w:pPr>
      <w:bookmarkStart w:id="6" w:name="_Toc142556995"/>
      <w:bookmarkStart w:id="7" w:name="BookMark2"/>
      <w:r>
        <w:rPr>
          <w:spacing w:val="320"/>
        </w:rPr>
        <w:t>前</w:t>
      </w:r>
      <w:r>
        <w:t>言</w:t>
      </w:r>
      <w:bookmarkEnd w:id="6"/>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本文件由深圳市前海深港现代服务业合作区管理局提出并归口。</w:t>
      </w:r>
    </w:p>
    <w:p>
      <w:pPr>
        <w:pStyle w:val="57"/>
        <w:ind w:firstLine="420"/>
      </w:pPr>
      <w:r>
        <w:rPr>
          <w:rFonts w:hint="eastAsia"/>
        </w:rPr>
        <w:t>本文件起草单位：深圳市前海深港现代服务业合作区管理局、深圳市物流与供应链管理协会、中外运物流有限公司、深圳市顺丰泰森控股（集团）有限公司、地上铁租车（深圳）有限公司。</w:t>
      </w:r>
    </w:p>
    <w:p>
      <w:pPr>
        <w:pStyle w:val="57"/>
        <w:ind w:firstLine="420"/>
      </w:pPr>
      <w:r>
        <w:rPr>
          <w:rFonts w:hint="eastAsia"/>
        </w:rPr>
        <w:t>本文件主要起草人：</w:t>
      </w:r>
    </w:p>
    <w:p>
      <w:pPr>
        <w:pStyle w:val="57"/>
        <w:ind w:firstLine="420"/>
      </w:pPr>
      <w:r>
        <w:rPr>
          <w:rFonts w:hint="eastAsia"/>
        </w:rPr>
        <w:t>本文件首次发布。</w:t>
      </w:r>
    </w:p>
    <w:p>
      <w:pPr>
        <w:pStyle w:val="57"/>
        <w:ind w:firstLine="420"/>
      </w:pPr>
    </w:p>
    <w:p>
      <w:pPr>
        <w:pStyle w:val="57"/>
        <w:ind w:firstLine="420"/>
      </w:pPr>
    </w:p>
    <w:p>
      <w:pPr>
        <w:pStyle w:val="57"/>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linePitch="312" w:charSpace="0"/>
        </w:sectPr>
      </w:pPr>
    </w:p>
    <w:bookmarkEnd w:id="7"/>
    <w:p>
      <w:pPr>
        <w:spacing w:line="20" w:lineRule="exact"/>
        <w:jc w:val="center"/>
        <w:rPr>
          <w:rFonts w:ascii="黑体" w:hAnsi="黑体" w:eastAsia="黑体"/>
          <w:sz w:val="32"/>
          <w:szCs w:val="32"/>
        </w:rPr>
      </w:pPr>
      <w:bookmarkStart w:id="8" w:name="BookMark4"/>
    </w:p>
    <w:p>
      <w:pPr>
        <w:spacing w:line="20" w:lineRule="exact"/>
        <w:jc w:val="center"/>
        <w:rPr>
          <w:rFonts w:ascii="黑体" w:hAnsi="黑体" w:eastAsia="黑体"/>
          <w:sz w:val="32"/>
          <w:szCs w:val="32"/>
        </w:rPr>
      </w:pPr>
    </w:p>
    <w:sdt>
      <w:sdtPr>
        <w:rPr>
          <w:color w:val="auto"/>
        </w:rPr>
        <w:tag w:val="NEW_STAND_NAME"/>
        <w:id w:val="595910757"/>
        <w:lock w:val="sdtLocked"/>
        <w:placeholder>
          <w:docPart w:val="C76AFB739A7D49E7A9D9560BFAD36C13"/>
        </w:placeholder>
      </w:sdtPr>
      <w:sdtEndPr>
        <w:rPr>
          <w:color w:val="auto"/>
        </w:rPr>
      </w:sdtEndPr>
      <w:sdtContent>
        <w:p>
          <w:pPr>
            <w:pStyle w:val="178"/>
            <w:spacing w:beforeLines="1" w:afterLines="220"/>
            <w:rPr>
              <w:color w:val="auto"/>
            </w:rPr>
          </w:pPr>
          <w:bookmarkStart w:id="9" w:name="NEW_STAND_NAME"/>
          <w:r>
            <w:rPr>
              <w:rFonts w:hint="eastAsia"/>
              <w:color w:val="auto"/>
            </w:rPr>
            <w:t>绿色低碳道路货运企业要求及评价细则</w:t>
          </w:r>
        </w:p>
      </w:sdtContent>
    </w:sdt>
    <w:bookmarkEnd w:id="9"/>
    <w:p>
      <w:pPr>
        <w:pStyle w:val="105"/>
        <w:spacing w:before="240" w:after="240"/>
        <w:rPr>
          <w:color w:val="auto"/>
        </w:rPr>
      </w:pPr>
      <w:bookmarkStart w:id="10" w:name="_Toc17233325"/>
      <w:bookmarkStart w:id="11" w:name="_Toc24884211"/>
      <w:bookmarkStart w:id="12" w:name="_Toc26986771"/>
      <w:bookmarkStart w:id="13" w:name="_Toc26718930"/>
      <w:bookmarkStart w:id="14" w:name="_Toc26648465"/>
      <w:bookmarkStart w:id="15" w:name="_Toc24884218"/>
      <w:bookmarkStart w:id="16" w:name="_Toc142556996"/>
      <w:bookmarkStart w:id="17" w:name="_Toc17233333"/>
      <w:bookmarkStart w:id="18" w:name="_Toc26986530"/>
      <w:r>
        <w:rPr>
          <w:rFonts w:hint="eastAsia"/>
          <w:color w:val="auto"/>
        </w:rPr>
        <w:t>范围</w:t>
      </w:r>
      <w:bookmarkEnd w:id="10"/>
      <w:bookmarkEnd w:id="11"/>
      <w:bookmarkEnd w:id="12"/>
      <w:bookmarkEnd w:id="13"/>
      <w:bookmarkEnd w:id="14"/>
      <w:bookmarkEnd w:id="15"/>
      <w:bookmarkEnd w:id="16"/>
      <w:bookmarkEnd w:id="17"/>
      <w:bookmarkEnd w:id="18"/>
    </w:p>
    <w:p>
      <w:pPr>
        <w:spacing w:line="240" w:lineRule="auto"/>
        <w:ind w:firstLine="420" w:firstLineChars="200"/>
        <w:rPr>
          <w:rFonts w:ascii="宋体" w:hAnsi="Times New Roman"/>
          <w:color w:val="auto"/>
          <w:kern w:val="0"/>
          <w:szCs w:val="20"/>
        </w:rPr>
      </w:pPr>
      <w:bookmarkStart w:id="19" w:name="_Toc17233326"/>
      <w:bookmarkStart w:id="20" w:name="_Toc26648466"/>
      <w:bookmarkStart w:id="21" w:name="_Toc24884219"/>
      <w:bookmarkStart w:id="22" w:name="_Toc17233334"/>
      <w:bookmarkStart w:id="23" w:name="_Toc24884212"/>
      <w:r>
        <w:rPr>
          <w:rFonts w:hint="eastAsia" w:ascii="宋体" w:hAnsi="Times New Roman"/>
          <w:color w:val="auto"/>
          <w:kern w:val="0"/>
          <w:szCs w:val="20"/>
        </w:rPr>
        <w:t>本文件规定了绿色低碳道路货运企业的绿色低碳</w:t>
      </w:r>
      <w:r>
        <w:rPr>
          <w:rFonts w:hint="eastAsia" w:ascii="宋体" w:hAnsi="Times New Roman"/>
          <w:color w:val="auto"/>
          <w:kern w:val="0"/>
          <w:szCs w:val="20"/>
          <w:lang w:val="en-US" w:eastAsia="zh-CN"/>
        </w:rPr>
        <w:t>发展</w:t>
      </w:r>
      <w:r>
        <w:rPr>
          <w:rFonts w:hint="eastAsia" w:ascii="宋体" w:hAnsi="Times New Roman"/>
          <w:color w:val="auto"/>
          <w:kern w:val="0"/>
          <w:szCs w:val="20"/>
        </w:rPr>
        <w:t>、运输管理、智慧物流、</w:t>
      </w:r>
      <w:r>
        <w:rPr>
          <w:rFonts w:hint="eastAsia" w:ascii="宋体" w:hAnsi="Times New Roman"/>
          <w:color w:val="auto"/>
          <w:kern w:val="0"/>
          <w:szCs w:val="20"/>
          <w:lang w:val="en-US" w:eastAsia="zh-CN"/>
        </w:rPr>
        <w:t>经营运作</w:t>
      </w:r>
      <w:r>
        <w:rPr>
          <w:rFonts w:hint="eastAsia" w:ascii="宋体" w:hAnsi="Times New Roman"/>
          <w:color w:val="auto"/>
          <w:kern w:val="0"/>
          <w:szCs w:val="20"/>
        </w:rPr>
        <w:t>、社会效益等方面的评价要求及评价细则。</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本文件适用于道路货运企业。</w:t>
      </w:r>
    </w:p>
    <w:p>
      <w:pPr>
        <w:pStyle w:val="105"/>
        <w:spacing w:before="240" w:after="240"/>
        <w:rPr>
          <w:color w:val="auto"/>
        </w:rPr>
      </w:pPr>
      <w:bookmarkStart w:id="24" w:name="_Toc142556997"/>
      <w:bookmarkStart w:id="25" w:name="_Toc26986772"/>
      <w:bookmarkStart w:id="26" w:name="_Toc26718931"/>
      <w:bookmarkStart w:id="27" w:name="_Toc26986531"/>
      <w:r>
        <w:rPr>
          <w:rFonts w:hint="eastAsia"/>
          <w:color w:val="auto"/>
        </w:rPr>
        <w:t>规范性引用文件</w:t>
      </w:r>
      <w:bookmarkEnd w:id="19"/>
      <w:bookmarkEnd w:id="20"/>
      <w:bookmarkEnd w:id="21"/>
      <w:bookmarkEnd w:id="22"/>
      <w:bookmarkEnd w:id="23"/>
      <w:bookmarkEnd w:id="24"/>
      <w:bookmarkEnd w:id="25"/>
      <w:bookmarkEnd w:id="26"/>
      <w:bookmarkEnd w:id="27"/>
    </w:p>
    <w:p>
      <w:pPr>
        <w:pStyle w:val="57"/>
        <w:ind w:firstLine="420"/>
        <w:rPr>
          <w:color w:val="auto"/>
        </w:rPr>
      </w:pPr>
      <w:sdt>
        <w:sdtPr>
          <w:rPr>
            <w:rFonts w:hint="eastAsia"/>
            <w:color w:val="auto"/>
          </w:rPr>
          <w:id w:val="715848253"/>
          <w:placeholder>
            <w:docPart w:val="026A0C74390D4CD289D4134FACC1DB7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rPr>
        </w:sdtEndPr>
        <w:sdtContent>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57"/>
        <w:ind w:firstLine="420"/>
        <w:rPr>
          <w:color w:val="auto"/>
        </w:rPr>
      </w:pPr>
      <w:r>
        <w:rPr>
          <w:rFonts w:hint="eastAsia"/>
          <w:color w:val="auto"/>
        </w:rPr>
        <w:t>GB/T 18354—2021  物流术语</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20923—2007</w:t>
      </w:r>
      <w:r>
        <w:rPr>
          <w:rFonts w:ascii="宋体" w:hAnsi="Times New Roman"/>
          <w:color w:val="auto"/>
          <w:kern w:val="0"/>
          <w:szCs w:val="20"/>
        </w:rPr>
        <w:t xml:space="preserve">  </w:t>
      </w:r>
      <w:r>
        <w:rPr>
          <w:rFonts w:hint="eastAsia" w:ascii="宋体" w:hAnsi="Times New Roman"/>
          <w:color w:val="auto"/>
          <w:kern w:val="0"/>
          <w:szCs w:val="20"/>
        </w:rPr>
        <w:t>道路货物运输评价指标</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8226—20</w:t>
      </w:r>
      <w:r>
        <w:rPr>
          <w:rFonts w:hint="eastAsia" w:ascii="宋体" w:hAnsi="Times New Roman"/>
          <w:color w:val="auto"/>
          <w:kern w:val="0"/>
          <w:szCs w:val="20"/>
          <w:lang w:val="en-US" w:eastAsia="zh-CN"/>
        </w:rPr>
        <w:t>23</w:t>
      </w:r>
      <w:r>
        <w:rPr>
          <w:rFonts w:ascii="宋体" w:hAnsi="Times New Roman"/>
          <w:color w:val="auto"/>
          <w:kern w:val="0"/>
          <w:szCs w:val="20"/>
        </w:rPr>
        <w:t xml:space="preserve">  </w:t>
      </w:r>
      <w:r>
        <w:rPr>
          <w:rFonts w:hint="eastAsia" w:ascii="宋体" w:hAnsi="Times New Roman"/>
          <w:color w:val="auto"/>
          <w:kern w:val="0"/>
          <w:szCs w:val="20"/>
        </w:rPr>
        <w:t>道路运输术语</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37099—2018</w:t>
      </w:r>
      <w:r>
        <w:rPr>
          <w:rFonts w:ascii="宋体" w:hAnsi="Times New Roman"/>
          <w:color w:val="auto"/>
          <w:kern w:val="0"/>
          <w:szCs w:val="20"/>
        </w:rPr>
        <w:t xml:space="preserve">  </w:t>
      </w:r>
      <w:r>
        <w:rPr>
          <w:rFonts w:hint="eastAsia" w:ascii="宋体" w:hAnsi="Times New Roman"/>
          <w:color w:val="auto"/>
          <w:kern w:val="0"/>
          <w:szCs w:val="20"/>
        </w:rPr>
        <w:t>绿色物流指标构成与核算方法</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32150—2015</w:t>
      </w:r>
      <w:r>
        <w:rPr>
          <w:rFonts w:ascii="宋体" w:hAnsi="Times New Roman"/>
          <w:color w:val="auto"/>
          <w:kern w:val="0"/>
          <w:szCs w:val="20"/>
        </w:rPr>
        <w:t xml:space="preserve">  </w:t>
      </w:r>
      <w:r>
        <w:rPr>
          <w:rFonts w:hint="eastAsia" w:ascii="宋体" w:hAnsi="Times New Roman"/>
          <w:color w:val="auto"/>
          <w:kern w:val="0"/>
          <w:szCs w:val="20"/>
        </w:rPr>
        <w:t>工业企业温室气体排放核算和报告通则</w:t>
      </w:r>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T/BJEA 0003—2023  碳中和评估指南</w:t>
      </w:r>
    </w:p>
    <w:p>
      <w:pPr>
        <w:pStyle w:val="105"/>
        <w:spacing w:before="240" w:after="240"/>
        <w:rPr>
          <w:color w:val="auto"/>
        </w:rPr>
      </w:pPr>
      <w:bookmarkStart w:id="28" w:name="_Toc142556998"/>
      <w:r>
        <w:rPr>
          <w:rFonts w:hint="eastAsia"/>
          <w:color w:val="auto"/>
          <w:szCs w:val="21"/>
        </w:rPr>
        <w:t>术语和定义</w:t>
      </w:r>
      <w:bookmarkEnd w:id="28"/>
    </w:p>
    <w:p>
      <w:pPr>
        <w:pStyle w:val="57"/>
        <w:ind w:firstLine="420"/>
        <w:rPr>
          <w:rFonts w:ascii="黑体" w:hAnsi="黑体" w:eastAsia="黑体"/>
          <w:color w:val="auto"/>
        </w:rPr>
      </w:pPr>
      <w:bookmarkStart w:id="29" w:name="_Toc26986532"/>
      <w:bookmarkEnd w:id="29"/>
      <w:sdt>
        <w:sdtPr>
          <w:rPr>
            <w:color w:val="auto"/>
          </w:rPr>
          <w:id w:val="-1909835108"/>
          <w:placeholder>
            <w:docPart w:val="5CD84D83A5EC45299AFE048AA8688CC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r>
            <w:rPr>
              <w:rFonts w:hint="eastAsia"/>
              <w:color w:val="auto"/>
            </w:rPr>
            <w:t>下列术语和定义适用于本文件。</w:t>
          </w:r>
        </w:sdtContent>
      </w:sdt>
    </w:p>
    <w:p>
      <w:pPr>
        <w:pStyle w:val="106"/>
        <w:spacing w:beforeLines="0" w:afterLines="0"/>
        <w:rPr>
          <w:color w:val="auto"/>
        </w:rPr>
      </w:pPr>
      <w:bookmarkStart w:id="30" w:name="_Toc90989559"/>
      <w:bookmarkEnd w:id="30"/>
      <w:bookmarkStart w:id="31" w:name="_Toc141193710"/>
      <w:bookmarkEnd w:id="31"/>
      <w:bookmarkStart w:id="32" w:name="_Toc90989666"/>
      <w:bookmarkEnd w:id="32"/>
      <w:bookmarkStart w:id="33" w:name="_Toc141193711"/>
    </w:p>
    <w:p>
      <w:pPr>
        <w:pStyle w:val="106"/>
        <w:numPr>
          <w:ilvl w:val="2"/>
          <w:numId w:val="0"/>
        </w:numPr>
        <w:spacing w:beforeLines="0" w:afterLines="0"/>
        <w:ind w:firstLine="420" w:firstLineChars="200"/>
        <w:rPr>
          <w:color w:val="auto"/>
        </w:rPr>
      </w:pPr>
      <w:bookmarkStart w:id="34" w:name="_Toc142556999"/>
      <w:r>
        <w:rPr>
          <w:rFonts w:hint="eastAsia" w:hAnsi="黑体"/>
          <w:color w:val="auto"/>
        </w:rPr>
        <w:t>碳排放 carbon emission</w:t>
      </w:r>
      <w:bookmarkEnd w:id="33"/>
      <w:bookmarkEnd w:id="34"/>
    </w:p>
    <w:p>
      <w:pPr>
        <w:pStyle w:val="57"/>
        <w:ind w:firstLine="420"/>
        <w:rPr>
          <w:color w:val="auto"/>
        </w:rPr>
      </w:pPr>
      <w:r>
        <w:rPr>
          <w:rFonts w:hint="eastAsia"/>
          <w:color w:val="auto"/>
        </w:rPr>
        <w:t>碳排放单位在核算边界内生产、活动和服务过程中各个环节产生的所有二氧化碳排放量，以二氧化碳当量形式表示。</w:t>
      </w:r>
    </w:p>
    <w:p>
      <w:pPr>
        <w:pStyle w:val="57"/>
        <w:ind w:firstLine="420"/>
        <w:rPr>
          <w:color w:val="auto"/>
        </w:rPr>
      </w:pPr>
      <w:r>
        <w:rPr>
          <w:rFonts w:hint="eastAsia"/>
          <w:color w:val="auto"/>
        </w:rPr>
        <w:t>[来源：GB/T 32150-2015，3.7，有修改]</w:t>
      </w:r>
    </w:p>
    <w:p>
      <w:pPr>
        <w:pStyle w:val="106"/>
        <w:spacing w:beforeLines="0" w:afterLines="0"/>
        <w:rPr>
          <w:color w:val="auto"/>
        </w:rPr>
      </w:pPr>
    </w:p>
    <w:p>
      <w:pPr>
        <w:pStyle w:val="106"/>
        <w:numPr>
          <w:ilvl w:val="2"/>
          <w:numId w:val="0"/>
        </w:numPr>
        <w:spacing w:beforeLines="0" w:afterLines="0"/>
        <w:ind w:firstLine="420" w:firstLineChars="200"/>
        <w:rPr>
          <w:color w:val="auto"/>
        </w:rPr>
      </w:pPr>
      <w:bookmarkStart w:id="35" w:name="_Toc142557001"/>
      <w:bookmarkStart w:id="36" w:name="_Toc141193713"/>
      <w:r>
        <w:rPr>
          <w:rFonts w:hint="eastAsia" w:hAnsi="黑体"/>
          <w:color w:val="auto"/>
        </w:rPr>
        <w:t>绿色包装 green packaging</w:t>
      </w:r>
      <w:bookmarkEnd w:id="35"/>
      <w:bookmarkEnd w:id="36"/>
    </w:p>
    <w:p>
      <w:pPr>
        <w:pStyle w:val="57"/>
        <w:ind w:firstLine="420"/>
        <w:rPr>
          <w:color w:val="auto"/>
        </w:rPr>
      </w:pPr>
      <w:r>
        <w:rPr>
          <w:rFonts w:hint="eastAsia"/>
          <w:color w:val="auto"/>
        </w:rPr>
        <w:t>在货物流通环节中，满足包装功能要求的可再利用、减量化、可降解的包装。</w:t>
      </w:r>
    </w:p>
    <w:p>
      <w:pPr>
        <w:pStyle w:val="57"/>
        <w:ind w:firstLine="420"/>
        <w:rPr>
          <w:color w:val="auto"/>
        </w:rPr>
      </w:pPr>
      <w:r>
        <w:rPr>
          <w:rFonts w:hint="eastAsia"/>
          <w:color w:val="auto"/>
        </w:rPr>
        <w:t>[来源：GB/T 18354—2021，4.52，有修改]</w:t>
      </w:r>
    </w:p>
    <w:p>
      <w:pPr>
        <w:pStyle w:val="106"/>
        <w:spacing w:before="120" w:after="120"/>
        <w:rPr>
          <w:rFonts w:hAnsi="黑体"/>
          <w:color w:val="auto"/>
        </w:rPr>
      </w:pPr>
      <w:bookmarkStart w:id="37" w:name="_Toc142557002"/>
      <w:bookmarkEnd w:id="37"/>
    </w:p>
    <w:p>
      <w:pPr>
        <w:pStyle w:val="106"/>
        <w:numPr>
          <w:ilvl w:val="0"/>
          <w:numId w:val="0"/>
        </w:numPr>
        <w:spacing w:beforeLines="0" w:afterLines="0"/>
        <w:ind w:firstLine="420" w:firstLineChars="200"/>
        <w:rPr>
          <w:rFonts w:hAnsi="黑体"/>
          <w:color w:val="auto"/>
        </w:rPr>
      </w:pPr>
      <w:bookmarkStart w:id="38" w:name="_Toc142557003"/>
      <w:bookmarkStart w:id="39" w:name="_Toc141193714"/>
      <w:r>
        <w:rPr>
          <w:rFonts w:hint="eastAsia" w:hAnsi="黑体"/>
          <w:color w:val="auto"/>
        </w:rPr>
        <w:t>集装器具 unitized implement</w:t>
      </w:r>
      <w:bookmarkEnd w:id="38"/>
    </w:p>
    <w:p>
      <w:pPr>
        <w:pStyle w:val="166"/>
        <w:ind w:left="420" w:leftChars="200"/>
        <w:rPr>
          <w:color w:val="auto"/>
        </w:rPr>
      </w:pPr>
      <w:r>
        <w:rPr>
          <w:rFonts w:hint="eastAsia"/>
          <w:color w:val="auto"/>
        </w:rPr>
        <w:t>用于承载由物品组成的标准规格、便于储运的单元器具。</w:t>
      </w:r>
    </w:p>
    <w:p>
      <w:pPr>
        <w:pStyle w:val="166"/>
        <w:ind w:left="420" w:leftChars="200"/>
        <w:rPr>
          <w:color w:val="auto"/>
        </w:rPr>
      </w:pPr>
      <w:r>
        <w:rPr>
          <w:color w:val="auto"/>
        </w:rPr>
        <w:t>[</w:t>
      </w:r>
      <w:r>
        <w:rPr>
          <w:rFonts w:hint="eastAsia"/>
          <w:color w:val="auto"/>
        </w:rPr>
        <w:t>来源：GB/T 18354—2021，5.39</w:t>
      </w:r>
      <w:r>
        <w:rPr>
          <w:color w:val="auto"/>
        </w:rPr>
        <w:t>]</w:t>
      </w:r>
      <w:bookmarkEnd w:id="39"/>
    </w:p>
    <w:p>
      <w:pPr>
        <w:pStyle w:val="106"/>
        <w:spacing w:beforeLines="0" w:afterLines="0"/>
        <w:rPr>
          <w:rFonts w:ascii="宋体" w:eastAsia="宋体"/>
          <w:color w:val="auto"/>
        </w:rPr>
      </w:pPr>
      <w:bookmarkStart w:id="40" w:name="_Toc142557006"/>
      <w:bookmarkEnd w:id="40"/>
      <w:bookmarkStart w:id="41" w:name="_Toc142557004"/>
      <w:bookmarkEnd w:id="41"/>
    </w:p>
    <w:p>
      <w:pPr>
        <w:pStyle w:val="106"/>
        <w:numPr>
          <w:ilvl w:val="2"/>
          <w:numId w:val="0"/>
        </w:numPr>
        <w:spacing w:beforeLines="0" w:afterLines="0"/>
        <w:ind w:firstLine="420" w:firstLineChars="200"/>
        <w:rPr>
          <w:rFonts w:hint="default" w:ascii="宋体" w:eastAsia="宋体"/>
          <w:color w:val="auto"/>
          <w:lang w:val="en-US"/>
        </w:rPr>
      </w:pPr>
      <w:bookmarkStart w:id="42" w:name="_Toc142557007"/>
      <w:r>
        <w:rPr>
          <w:rFonts w:hint="eastAsia" w:hAnsi="黑体"/>
          <w:color w:val="auto"/>
          <w:lang w:val="en-US" w:eastAsia="zh-CN"/>
        </w:rPr>
        <w:t>空载率</w:t>
      </w:r>
      <w:bookmarkEnd w:id="42"/>
      <w:r>
        <w:rPr>
          <w:rFonts w:hint="eastAsia" w:hAnsi="黑体"/>
          <w:color w:val="auto"/>
          <w:lang w:val="en-US" w:eastAsia="zh-CN"/>
        </w:rPr>
        <w:t xml:space="preserve"> rate of empty loading</w:t>
      </w:r>
    </w:p>
    <w:p>
      <w:pPr>
        <w:pStyle w:val="165"/>
        <w:ind w:firstLine="420" w:firstLineChars="200"/>
        <w:rPr>
          <w:color w:val="auto"/>
        </w:rPr>
      </w:pPr>
      <w:r>
        <w:rPr>
          <w:rFonts w:hint="eastAsia"/>
          <w:color w:val="auto"/>
          <w:lang w:val="en-US" w:eastAsia="zh-CN"/>
        </w:rPr>
        <w:t>考核期内，空载车次占总车次的比率，计算单位为百分数（%）</w:t>
      </w:r>
      <w:r>
        <w:rPr>
          <w:rFonts w:hint="eastAsia"/>
          <w:color w:val="auto"/>
        </w:rPr>
        <w:t>。</w:t>
      </w:r>
    </w:p>
    <w:p>
      <w:pPr>
        <w:pStyle w:val="166"/>
        <w:ind w:firstLine="420" w:firstLineChars="200"/>
        <w:rPr>
          <w:color w:val="auto"/>
        </w:rPr>
      </w:pPr>
      <w:r>
        <w:rPr>
          <w:color w:val="auto"/>
        </w:rPr>
        <w:t>[</w:t>
      </w:r>
      <w:r>
        <w:rPr>
          <w:rFonts w:hint="eastAsia"/>
          <w:color w:val="auto"/>
        </w:rPr>
        <w:t>来源：</w:t>
      </w:r>
      <w:r>
        <w:rPr>
          <w:color w:val="auto"/>
        </w:rPr>
        <w:t xml:space="preserve">GB/T </w:t>
      </w:r>
      <w:r>
        <w:rPr>
          <w:rFonts w:hint="eastAsia"/>
          <w:color w:val="auto"/>
          <w:lang w:val="en-US" w:eastAsia="zh-CN"/>
        </w:rPr>
        <w:t>20923-2007</w:t>
      </w:r>
      <w:r>
        <w:rPr>
          <w:rFonts w:hint="eastAsia"/>
          <w:color w:val="auto"/>
        </w:rPr>
        <w:t>，</w:t>
      </w:r>
      <w:r>
        <w:rPr>
          <w:rFonts w:hint="eastAsia"/>
          <w:color w:val="auto"/>
          <w:lang w:val="en-US" w:eastAsia="zh-CN"/>
        </w:rPr>
        <w:t>3.3.4，有修改</w:t>
      </w:r>
      <w:r>
        <w:rPr>
          <w:color w:val="auto"/>
        </w:rPr>
        <w:t>]</w:t>
      </w:r>
    </w:p>
    <w:p>
      <w:pPr>
        <w:pStyle w:val="106"/>
        <w:spacing w:beforeLines="0" w:afterLines="0"/>
        <w:rPr>
          <w:color w:val="auto"/>
        </w:rPr>
      </w:pPr>
      <w:bookmarkStart w:id="43" w:name="_Toc142557008"/>
      <w:bookmarkEnd w:id="43"/>
      <w:bookmarkStart w:id="44" w:name="_Toc142557009"/>
    </w:p>
    <w:p>
      <w:pPr>
        <w:pStyle w:val="106"/>
        <w:numPr>
          <w:ilvl w:val="0"/>
          <w:numId w:val="0"/>
        </w:numPr>
        <w:spacing w:beforeLines="0" w:afterLines="0"/>
        <w:ind w:left="420" w:leftChars="200"/>
        <w:rPr>
          <w:rFonts w:hAnsi="黑体"/>
          <w:color w:val="auto"/>
        </w:rPr>
      </w:pPr>
      <w:r>
        <w:rPr>
          <w:rFonts w:hint="eastAsia" w:hAnsi="黑体"/>
          <w:color w:val="auto"/>
        </w:rPr>
        <w:t>碳抵消 carbon offsets</w:t>
      </w:r>
    </w:p>
    <w:p>
      <w:pPr>
        <w:pStyle w:val="106"/>
        <w:numPr>
          <w:ilvl w:val="0"/>
          <w:numId w:val="0"/>
        </w:numPr>
        <w:spacing w:beforeLines="0" w:afterLines="0"/>
        <w:ind w:left="420" w:leftChars="200"/>
        <w:rPr>
          <w:rFonts w:ascii="宋体" w:eastAsia="宋体"/>
          <w:color w:val="auto"/>
        </w:rPr>
      </w:pPr>
      <w:r>
        <w:rPr>
          <w:rFonts w:hint="eastAsia" w:ascii="宋体" w:eastAsia="宋体"/>
          <w:color w:val="auto"/>
        </w:rPr>
        <w:t>以碳配额或碳信用的形式抵消碳排放。</w:t>
      </w:r>
    </w:p>
    <w:p>
      <w:pPr>
        <w:pStyle w:val="106"/>
        <w:numPr>
          <w:ilvl w:val="0"/>
          <w:numId w:val="0"/>
        </w:numPr>
        <w:spacing w:beforeLines="0" w:afterLines="0"/>
        <w:ind w:left="420" w:leftChars="200"/>
        <w:rPr>
          <w:rFonts w:hAnsi="黑体"/>
          <w:color w:val="auto"/>
        </w:rPr>
      </w:pPr>
      <w:r>
        <w:rPr>
          <w:rFonts w:ascii="宋体" w:eastAsia="宋体"/>
          <w:color w:val="auto"/>
        </w:rPr>
        <w:t>[</w:t>
      </w:r>
      <w:r>
        <w:rPr>
          <w:rFonts w:hint="eastAsia" w:ascii="宋体" w:eastAsia="宋体"/>
          <w:color w:val="auto"/>
        </w:rPr>
        <w:t>来源：</w:t>
      </w:r>
      <w:r>
        <w:rPr>
          <w:rFonts w:ascii="宋体" w:eastAsia="宋体"/>
          <w:color w:val="auto"/>
        </w:rPr>
        <w:t>T/BJEA 0003—2023</w:t>
      </w:r>
      <w:r>
        <w:rPr>
          <w:rFonts w:hint="eastAsia" w:ascii="宋体" w:eastAsia="宋体"/>
          <w:color w:val="auto"/>
        </w:rPr>
        <w:t>,3.8</w:t>
      </w:r>
      <w:r>
        <w:rPr>
          <w:rFonts w:ascii="宋体" w:eastAsia="宋体"/>
          <w:color w:val="auto"/>
        </w:rPr>
        <w:t>]</w:t>
      </w:r>
      <w:bookmarkEnd w:id="44"/>
    </w:p>
    <w:p>
      <w:pPr>
        <w:pStyle w:val="105"/>
        <w:spacing w:before="240" w:after="240"/>
        <w:rPr>
          <w:color w:val="auto"/>
          <w:kern w:val="2"/>
        </w:rPr>
      </w:pPr>
      <w:bookmarkStart w:id="45" w:name="_Toc142557010"/>
      <w:r>
        <w:rPr>
          <w:rFonts w:hint="eastAsia"/>
          <w:color w:val="auto"/>
          <w:kern w:val="2"/>
        </w:rPr>
        <w:t>基本要求</w:t>
      </w:r>
      <w:bookmarkEnd w:id="45"/>
    </w:p>
    <w:p>
      <w:pPr>
        <w:spacing w:line="240" w:lineRule="auto"/>
        <w:ind w:firstLine="420" w:firstLineChars="200"/>
        <w:rPr>
          <w:rFonts w:ascii="宋体" w:hAnsi="Times New Roman"/>
          <w:color w:val="auto"/>
          <w:kern w:val="0"/>
          <w:szCs w:val="20"/>
          <w:highlight w:val="none"/>
        </w:rPr>
      </w:pPr>
      <w:r>
        <w:rPr>
          <w:rFonts w:hint="eastAsia" w:ascii="宋体" w:hAnsi="Times New Roman"/>
          <w:color w:val="auto"/>
          <w:kern w:val="0"/>
          <w:szCs w:val="20"/>
          <w:highlight w:val="none"/>
        </w:rPr>
        <w:t>申请评价的企业应满足以下基本要求：</w:t>
      </w:r>
    </w:p>
    <w:p>
      <w:pPr>
        <w:pStyle w:val="175"/>
        <w:rPr>
          <w:color w:val="auto"/>
          <w:highlight w:val="none"/>
        </w:rPr>
      </w:pPr>
      <w:r>
        <w:rPr>
          <w:rFonts w:hint="eastAsia"/>
          <w:color w:val="auto"/>
          <w:highlight w:val="none"/>
        </w:rPr>
        <w:t>企业应具备有效的道路货物运输相关的营运资格；</w:t>
      </w:r>
    </w:p>
    <w:p>
      <w:pPr>
        <w:pStyle w:val="175"/>
        <w:rPr>
          <w:color w:val="auto"/>
          <w:highlight w:val="none"/>
        </w:rPr>
      </w:pPr>
      <w:r>
        <w:rPr>
          <w:rFonts w:hint="eastAsia"/>
          <w:color w:val="auto"/>
          <w:highlight w:val="none"/>
        </w:rPr>
        <w:t>企业</w:t>
      </w:r>
      <w:r>
        <w:rPr>
          <w:rFonts w:hint="eastAsia"/>
          <w:color w:val="auto"/>
          <w:highlight w:val="none"/>
          <w:lang w:val="en-US" w:eastAsia="zh-CN"/>
        </w:rPr>
        <w:t>应确保</w:t>
      </w:r>
      <w:r>
        <w:rPr>
          <w:rFonts w:hint="eastAsia"/>
          <w:color w:val="auto"/>
          <w:highlight w:val="none"/>
        </w:rPr>
        <w:t>营运车辆驾驶员具备相应的职业资质；</w:t>
      </w:r>
    </w:p>
    <w:p>
      <w:pPr>
        <w:pStyle w:val="175"/>
        <w:rPr>
          <w:color w:val="auto"/>
          <w:highlight w:val="none"/>
        </w:rPr>
      </w:pPr>
      <w:r>
        <w:rPr>
          <w:rFonts w:hint="eastAsia"/>
          <w:color w:val="auto"/>
          <w:highlight w:val="none"/>
        </w:rPr>
        <w:t>企业</w:t>
      </w:r>
      <w:r>
        <w:rPr>
          <w:rFonts w:hint="eastAsia"/>
          <w:color w:val="auto"/>
          <w:highlight w:val="none"/>
          <w:lang w:val="en-US" w:eastAsia="zh-CN"/>
        </w:rPr>
        <w:t>应确保</w:t>
      </w:r>
      <w:r>
        <w:rPr>
          <w:rFonts w:hint="eastAsia"/>
          <w:color w:val="auto"/>
          <w:highlight w:val="none"/>
        </w:rPr>
        <w:t>营运车辆具备有效的车辆行驶资质及运营资格；</w:t>
      </w:r>
    </w:p>
    <w:p>
      <w:pPr>
        <w:pStyle w:val="175"/>
        <w:rPr>
          <w:color w:val="auto"/>
          <w:highlight w:val="none"/>
        </w:rPr>
      </w:pPr>
      <w:r>
        <w:rPr>
          <w:rFonts w:hint="eastAsia"/>
          <w:color w:val="auto"/>
          <w:highlight w:val="none"/>
        </w:rPr>
        <w:t>企业在经营过程中应遵守有关</w:t>
      </w:r>
      <w:r>
        <w:rPr>
          <w:rFonts w:hint="eastAsia"/>
          <w:color w:val="auto"/>
          <w:highlight w:val="none"/>
          <w:lang w:eastAsia="zh-CN"/>
        </w:rPr>
        <w:t>法律法规</w:t>
      </w:r>
      <w:r>
        <w:rPr>
          <w:rFonts w:hint="eastAsia"/>
          <w:color w:val="auto"/>
          <w:highlight w:val="none"/>
        </w:rPr>
        <w:t>、政策和标准，评价报告期内未发生重大道路交通事故和较大生产安全、环境污染事故。</w:t>
      </w:r>
    </w:p>
    <w:p>
      <w:pPr>
        <w:pStyle w:val="105"/>
        <w:spacing w:before="240" w:after="240"/>
        <w:rPr>
          <w:color w:val="auto"/>
        </w:rPr>
      </w:pPr>
      <w:bookmarkStart w:id="46" w:name="_Toc142557011"/>
      <w:r>
        <w:rPr>
          <w:rFonts w:hint="eastAsia"/>
          <w:color w:val="auto"/>
        </w:rPr>
        <w:t>评价原则</w:t>
      </w:r>
      <w:bookmarkEnd w:id="46"/>
    </w:p>
    <w:p>
      <w:pPr>
        <w:pStyle w:val="106"/>
        <w:spacing w:before="120" w:after="120"/>
        <w:rPr>
          <w:color w:val="auto"/>
        </w:rPr>
      </w:pPr>
      <w:bookmarkStart w:id="47" w:name="_Toc141193718"/>
      <w:bookmarkStart w:id="48" w:name="_Toc142557012"/>
      <w:r>
        <w:rPr>
          <w:rFonts w:hint="eastAsia"/>
          <w:color w:val="auto"/>
        </w:rPr>
        <w:t>相关性</w:t>
      </w:r>
      <w:bookmarkEnd w:id="47"/>
      <w:bookmarkEnd w:id="48"/>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指标可以客观反映企业绿色低碳道路货运综合水平。</w:t>
      </w:r>
    </w:p>
    <w:p>
      <w:pPr>
        <w:pStyle w:val="106"/>
        <w:spacing w:before="120" w:after="120"/>
        <w:rPr>
          <w:color w:val="auto"/>
          <w:kern w:val="2"/>
        </w:rPr>
      </w:pPr>
      <w:bookmarkStart w:id="49" w:name="_Toc141193719"/>
      <w:bookmarkStart w:id="50" w:name="_Toc142557013"/>
      <w:r>
        <w:rPr>
          <w:rFonts w:hint="eastAsia"/>
          <w:color w:val="auto"/>
        </w:rPr>
        <w:t>合理性</w:t>
      </w:r>
      <w:bookmarkEnd w:id="49"/>
      <w:bookmarkEnd w:id="50"/>
    </w:p>
    <w:p>
      <w:pPr>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指标之间的逻辑关系清晰，避免重复和矛盾。</w:t>
      </w:r>
    </w:p>
    <w:p>
      <w:pPr>
        <w:pStyle w:val="106"/>
        <w:spacing w:before="120" w:after="120"/>
        <w:rPr>
          <w:color w:val="auto"/>
        </w:rPr>
      </w:pPr>
      <w:bookmarkStart w:id="51" w:name="_Toc142557014"/>
      <w:bookmarkStart w:id="52" w:name="_Toc141193720"/>
      <w:r>
        <w:rPr>
          <w:rFonts w:hint="eastAsia"/>
          <w:color w:val="auto"/>
        </w:rPr>
        <w:t>适用性</w:t>
      </w:r>
      <w:bookmarkEnd w:id="51"/>
      <w:bookmarkEnd w:id="52"/>
    </w:p>
    <w:p>
      <w:pPr>
        <w:pStyle w:val="166"/>
        <w:ind w:firstLine="420" w:firstLineChars="200"/>
        <w:rPr>
          <w:color w:val="auto"/>
        </w:rPr>
      </w:pPr>
      <w:bookmarkStart w:id="53" w:name="_Toc141193721"/>
      <w:r>
        <w:rPr>
          <w:rFonts w:hint="eastAsia"/>
          <w:color w:val="auto"/>
        </w:rPr>
        <w:t>指标选取满足便于理解、采集和使用的要求。</w:t>
      </w:r>
      <w:bookmarkEnd w:id="53"/>
    </w:p>
    <w:p>
      <w:pPr>
        <w:pStyle w:val="105"/>
        <w:spacing w:before="240" w:after="240"/>
        <w:rPr>
          <w:color w:val="auto"/>
        </w:rPr>
      </w:pPr>
      <w:bookmarkStart w:id="54" w:name="_Toc142557015"/>
      <w:r>
        <w:rPr>
          <w:rFonts w:hint="eastAsia"/>
          <w:color w:val="auto"/>
        </w:rPr>
        <w:t>评价指标体系</w:t>
      </w:r>
      <w:bookmarkEnd w:id="54"/>
    </w:p>
    <w:p>
      <w:pPr>
        <w:spacing w:line="240" w:lineRule="auto"/>
        <w:ind w:firstLine="420" w:firstLineChars="200"/>
        <w:rPr>
          <w:rFonts w:ascii="宋体" w:hAnsi="Times New Roman"/>
          <w:color w:val="auto"/>
          <w:kern w:val="0"/>
          <w:szCs w:val="20"/>
        </w:rPr>
      </w:pPr>
      <w:bookmarkStart w:id="55" w:name="_Toc141193723"/>
      <w:r>
        <w:rPr>
          <w:rFonts w:hint="eastAsia" w:ascii="宋体" w:hAnsi="Times New Roman"/>
          <w:color w:val="auto"/>
          <w:kern w:val="0"/>
          <w:szCs w:val="20"/>
        </w:rPr>
        <w:t>绿色低碳道路货运企业评价指标体系由两级指标组成。一级指标5项，包括绿色低碳管理、运输管理、智慧物流、</w:t>
      </w:r>
      <w:r>
        <w:rPr>
          <w:rFonts w:hint="eastAsia" w:ascii="宋体" w:hAnsi="Times New Roman"/>
          <w:color w:val="auto"/>
          <w:kern w:val="0"/>
          <w:szCs w:val="20"/>
          <w:lang w:val="en-US" w:eastAsia="zh-CN"/>
        </w:rPr>
        <w:t>经营运作</w:t>
      </w:r>
      <w:r>
        <w:rPr>
          <w:rFonts w:hint="eastAsia" w:ascii="宋体" w:hAnsi="Times New Roman"/>
          <w:color w:val="auto"/>
          <w:kern w:val="0"/>
          <w:szCs w:val="20"/>
        </w:rPr>
        <w:t>、社会效益；二级指标</w:t>
      </w:r>
      <w:r>
        <w:rPr>
          <w:rFonts w:hint="eastAsia" w:ascii="宋体" w:hAnsi="Times New Roman"/>
          <w:color w:val="auto"/>
          <w:kern w:val="0"/>
          <w:szCs w:val="20"/>
          <w:lang w:val="en-US" w:eastAsia="zh-CN"/>
        </w:rPr>
        <w:t>30</w:t>
      </w:r>
      <w:r>
        <w:rPr>
          <w:rFonts w:hint="eastAsia" w:ascii="宋体" w:hAnsi="Times New Roman"/>
          <w:color w:val="auto"/>
          <w:kern w:val="0"/>
          <w:szCs w:val="20"/>
        </w:rPr>
        <w:t>项，其细目详见表1。</w:t>
      </w:r>
      <w:bookmarkEnd w:id="55"/>
    </w:p>
    <w:p>
      <w:pPr>
        <w:pStyle w:val="113"/>
        <w:spacing w:before="120" w:after="120"/>
        <w:rPr>
          <w:color w:val="auto"/>
        </w:rPr>
      </w:pPr>
      <w:r>
        <w:rPr>
          <w:rFonts w:hint="eastAsia"/>
          <w:color w:val="auto"/>
        </w:rPr>
        <w:t>绿色低碳货运企业评价指标构成</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560"/>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spacing w:line="240" w:lineRule="auto"/>
              <w:jc w:val="center"/>
              <w:rPr>
                <w:rFonts w:ascii="宋体" w:hAnsi="宋体" w:cs="宋体"/>
                <w:color w:val="auto"/>
                <w:sz w:val="18"/>
                <w:szCs w:val="18"/>
              </w:rPr>
            </w:pPr>
            <w:r>
              <w:rPr>
                <w:rFonts w:hint="eastAsia" w:ascii="宋体" w:hAnsi="宋体"/>
                <w:color w:val="auto"/>
                <w:sz w:val="18"/>
                <w:szCs w:val="18"/>
              </w:rPr>
              <w:t>序号</w:t>
            </w:r>
          </w:p>
        </w:tc>
        <w:tc>
          <w:tcPr>
            <w:tcW w:w="815" w:type="pct"/>
            <w:vAlign w:val="center"/>
          </w:tcPr>
          <w:p>
            <w:pPr>
              <w:spacing w:line="240" w:lineRule="auto"/>
              <w:jc w:val="center"/>
              <w:rPr>
                <w:rFonts w:ascii="宋体" w:hAnsi="宋体" w:cs="宋体"/>
                <w:color w:val="auto"/>
                <w:sz w:val="18"/>
                <w:szCs w:val="18"/>
              </w:rPr>
            </w:pPr>
            <w:r>
              <w:rPr>
                <w:rFonts w:hint="eastAsia" w:ascii="宋体" w:hAnsi="宋体"/>
                <w:color w:val="auto"/>
                <w:sz w:val="18"/>
                <w:szCs w:val="18"/>
              </w:rPr>
              <w:t>一级指标</w:t>
            </w:r>
          </w:p>
        </w:tc>
        <w:tc>
          <w:tcPr>
            <w:tcW w:w="3758" w:type="pct"/>
            <w:vAlign w:val="center"/>
          </w:tcPr>
          <w:p>
            <w:pPr>
              <w:spacing w:line="240" w:lineRule="auto"/>
              <w:jc w:val="center"/>
              <w:rPr>
                <w:rFonts w:ascii="宋体" w:hAnsi="宋体" w:cs="宋体"/>
                <w:color w:val="auto"/>
                <w:sz w:val="18"/>
                <w:szCs w:val="18"/>
              </w:rPr>
            </w:pPr>
            <w:r>
              <w:rPr>
                <w:rFonts w:hint="eastAsia" w:ascii="宋体" w:hAnsi="宋体"/>
                <w:color w:val="auto"/>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spacing w:line="240" w:lineRule="auto"/>
              <w:jc w:val="center"/>
              <w:rPr>
                <w:rFonts w:ascii="宋体" w:hAnsi="宋体"/>
                <w:color w:val="auto"/>
                <w:sz w:val="18"/>
                <w:szCs w:val="18"/>
              </w:rPr>
            </w:pPr>
            <w:r>
              <w:rPr>
                <w:rFonts w:hint="eastAsia" w:ascii="宋体" w:hAnsi="宋体"/>
                <w:color w:val="auto"/>
                <w:sz w:val="18"/>
                <w:szCs w:val="18"/>
              </w:rPr>
              <w:t>1</w:t>
            </w:r>
          </w:p>
        </w:tc>
        <w:tc>
          <w:tcPr>
            <w:tcW w:w="815" w:type="pct"/>
            <w:vMerge w:val="restart"/>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rPr>
              <w:t>绿色低碳</w:t>
            </w:r>
            <w:r>
              <w:rPr>
                <w:rFonts w:hint="eastAsia" w:ascii="宋体" w:hAnsi="宋体"/>
                <w:color w:val="auto"/>
                <w:sz w:val="18"/>
                <w:szCs w:val="18"/>
                <w:lang w:val="en-US" w:eastAsia="zh-CN"/>
              </w:rPr>
              <w:t>管理</w:t>
            </w:r>
          </w:p>
        </w:tc>
        <w:tc>
          <w:tcPr>
            <w:tcW w:w="375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ascii="宋体" w:hAnsi="宋体"/>
                <w:color w:val="auto"/>
                <w:sz w:val="18"/>
                <w:szCs w:val="18"/>
              </w:rPr>
            </w:pPr>
          </w:p>
        </w:tc>
        <w:tc>
          <w:tcPr>
            <w:tcW w:w="815" w:type="pct"/>
            <w:vMerge w:val="continue"/>
          </w:tcPr>
          <w:p>
            <w:pPr>
              <w:spacing w:line="240" w:lineRule="auto"/>
              <w:jc w:val="center"/>
              <w:rPr>
                <w:rFonts w:ascii="宋体" w:hAnsi="宋体"/>
                <w:color w:val="auto"/>
                <w:sz w:val="18"/>
                <w:szCs w:val="18"/>
              </w:rPr>
            </w:pPr>
          </w:p>
        </w:tc>
        <w:tc>
          <w:tcPr>
            <w:tcW w:w="3758" w:type="pct"/>
            <w:vAlign w:val="center"/>
          </w:tcPr>
          <w:p>
            <w:pPr>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pct"/>
            <w:vMerge w:val="continue"/>
          </w:tcPr>
          <w:p>
            <w:pPr>
              <w:spacing w:line="240" w:lineRule="auto"/>
              <w:jc w:val="center"/>
              <w:rPr>
                <w:rFonts w:ascii="宋体" w:hAnsi="宋体"/>
                <w:color w:val="auto"/>
                <w:sz w:val="18"/>
                <w:szCs w:val="18"/>
              </w:rPr>
            </w:pPr>
          </w:p>
        </w:tc>
        <w:tc>
          <w:tcPr>
            <w:tcW w:w="815" w:type="pct"/>
            <w:vMerge w:val="continue"/>
          </w:tcPr>
          <w:p>
            <w:pPr>
              <w:spacing w:line="240" w:lineRule="auto"/>
              <w:jc w:val="center"/>
              <w:rPr>
                <w:rFonts w:ascii="宋体" w:hAnsi="宋体"/>
                <w:color w:val="auto"/>
                <w:sz w:val="18"/>
                <w:szCs w:val="18"/>
              </w:rPr>
            </w:pPr>
          </w:p>
        </w:tc>
        <w:tc>
          <w:tcPr>
            <w:tcW w:w="3758" w:type="pct"/>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规划实施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ascii="宋体" w:hAnsi="宋体"/>
                <w:color w:val="auto"/>
                <w:sz w:val="18"/>
                <w:szCs w:val="18"/>
              </w:rPr>
            </w:pPr>
          </w:p>
        </w:tc>
        <w:tc>
          <w:tcPr>
            <w:tcW w:w="815" w:type="pct"/>
            <w:vMerge w:val="continue"/>
          </w:tcPr>
          <w:p>
            <w:pPr>
              <w:spacing w:line="240" w:lineRule="auto"/>
              <w:jc w:val="center"/>
              <w:rPr>
                <w:rFonts w:ascii="宋体" w:hAnsi="宋体"/>
                <w:color w:val="auto"/>
                <w:sz w:val="18"/>
                <w:szCs w:val="18"/>
              </w:rPr>
            </w:pPr>
          </w:p>
        </w:tc>
        <w:tc>
          <w:tcPr>
            <w:tcW w:w="3758"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碳</w:t>
            </w:r>
            <w:r>
              <w:rPr>
                <w:rFonts w:hint="eastAsia" w:ascii="宋体" w:hAnsi="宋体"/>
                <w:color w:val="auto"/>
                <w:sz w:val="18"/>
                <w:szCs w:val="18"/>
                <w:lang w:val="en-US" w:eastAsia="zh-CN"/>
              </w:rPr>
              <w:t>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ascii="宋体" w:hAnsi="宋体"/>
                <w:color w:val="auto"/>
                <w:sz w:val="18"/>
                <w:szCs w:val="18"/>
              </w:rPr>
            </w:pPr>
          </w:p>
        </w:tc>
        <w:tc>
          <w:tcPr>
            <w:tcW w:w="815" w:type="pct"/>
            <w:vMerge w:val="continue"/>
          </w:tcPr>
          <w:p>
            <w:pPr>
              <w:spacing w:line="240" w:lineRule="auto"/>
              <w:jc w:val="center"/>
              <w:rPr>
                <w:rFonts w:ascii="宋体" w:hAnsi="宋体"/>
                <w:color w:val="auto"/>
                <w:sz w:val="18"/>
                <w:szCs w:val="18"/>
              </w:rPr>
            </w:pPr>
          </w:p>
        </w:tc>
        <w:tc>
          <w:tcPr>
            <w:tcW w:w="3758" w:type="pct"/>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能耗监测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2</w:t>
            </w:r>
          </w:p>
        </w:tc>
        <w:tc>
          <w:tcPr>
            <w:tcW w:w="815" w:type="pct"/>
            <w:vMerge w:val="restart"/>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运输管理</w:t>
            </w:r>
          </w:p>
        </w:tc>
        <w:tc>
          <w:tcPr>
            <w:tcW w:w="3758" w:type="pct"/>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绿色运力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车辆排放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车辆技术状况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widowControl/>
              <w:spacing w:line="240" w:lineRule="auto"/>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排气后处理技术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装载优化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绿色包装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标准化容器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运输组织模式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空载率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pct"/>
            <w:vMerge w:val="restart"/>
            <w:vAlign w:val="center"/>
          </w:tcPr>
          <w:p>
            <w:pPr>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w:t>
            </w:r>
          </w:p>
        </w:tc>
        <w:tc>
          <w:tcPr>
            <w:tcW w:w="815" w:type="pct"/>
            <w:vMerge w:val="restart"/>
            <w:vAlign w:val="center"/>
          </w:tcPr>
          <w:p>
            <w:pPr>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智慧物流</w:t>
            </w:r>
          </w:p>
        </w:tc>
        <w:tc>
          <w:tcPr>
            <w:tcW w:w="3758" w:type="pct"/>
            <w:vAlign w:val="center"/>
          </w:tcPr>
          <w:p>
            <w:pPr>
              <w:spacing w:line="240" w:lineRule="auto"/>
              <w:jc w:val="center"/>
              <w:rPr>
                <w:rFonts w:hint="eastAsia" w:ascii="宋体" w:hAnsi="宋体"/>
                <w:color w:val="auto"/>
                <w:sz w:val="18"/>
                <w:szCs w:val="18"/>
                <w:highlight w:val="none"/>
                <w:lang w:val="en-US" w:eastAsia="zh-CN"/>
              </w:rPr>
            </w:pPr>
            <w:r>
              <w:rPr>
                <w:rFonts w:hint="eastAsia" w:ascii="宋体" w:hAnsi="宋体"/>
                <w:color w:val="auto"/>
                <w:sz w:val="18"/>
                <w:szCs w:val="18"/>
              </w:rPr>
              <w:t>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color w:val="auto"/>
                <w:sz w:val="18"/>
                <w:szCs w:val="18"/>
                <w:highlight w:val="none"/>
                <w:lang w:val="en-US" w:eastAsia="zh-CN"/>
              </w:rPr>
            </w:pPr>
            <w:r>
              <w:rPr>
                <w:rFonts w:hint="eastAsia" w:ascii="宋体" w:hAnsi="宋体"/>
                <w:color w:val="auto"/>
                <w:sz w:val="18"/>
                <w:szCs w:val="18"/>
              </w:rPr>
              <w:t>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color w:val="auto"/>
                <w:sz w:val="18"/>
                <w:szCs w:val="18"/>
                <w:highlight w:val="none"/>
                <w:lang w:val="en-US" w:eastAsia="zh-CN"/>
              </w:rPr>
            </w:pPr>
            <w:r>
              <w:rPr>
                <w:rFonts w:hint="eastAsia" w:ascii="宋体" w:hAnsi="宋体"/>
                <w:color w:val="auto"/>
                <w:sz w:val="18"/>
                <w:szCs w:val="18"/>
              </w:rPr>
              <w:t>智能货运调度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rPr>
              <w:t>技术</w:t>
            </w:r>
            <w:r>
              <w:rPr>
                <w:rFonts w:hint="eastAsia" w:ascii="宋体" w:hAnsi="宋体"/>
                <w:color w:val="auto"/>
                <w:sz w:val="18"/>
                <w:szCs w:val="18"/>
                <w:lang w:val="en-US" w:eastAsia="zh-CN"/>
              </w:rPr>
              <w:t>及设备应用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color w:val="auto"/>
                <w:sz w:val="18"/>
                <w:szCs w:val="18"/>
                <w:highlight w:val="none"/>
                <w:lang w:val="en-US" w:eastAsia="zh-CN"/>
              </w:rPr>
            </w:pPr>
            <w:r>
              <w:rPr>
                <w:rFonts w:hint="eastAsia" w:ascii="宋体" w:hAnsi="宋体"/>
                <w:color w:val="auto"/>
                <w:sz w:val="18"/>
                <w:szCs w:val="18"/>
              </w:rPr>
              <w:t>无纸化作业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pct"/>
            <w:vMerge w:val="restart"/>
            <w:vAlign w:val="center"/>
          </w:tcPr>
          <w:p>
            <w:pPr>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w:t>
            </w:r>
          </w:p>
        </w:tc>
        <w:tc>
          <w:tcPr>
            <w:tcW w:w="815" w:type="pct"/>
            <w:vMerge w:val="restart"/>
            <w:vAlign w:val="center"/>
          </w:tcPr>
          <w:p>
            <w:pPr>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经营运作</w:t>
            </w:r>
          </w:p>
        </w:tc>
        <w:tc>
          <w:tcPr>
            <w:tcW w:w="3758" w:type="pct"/>
            <w:vAlign w:val="center"/>
          </w:tcPr>
          <w:p>
            <w:pPr>
              <w:spacing w:line="240" w:lineRule="auto"/>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制度管理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商业实践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供应商管理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培训动员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tcPr>
          <w:p>
            <w:pPr>
              <w:spacing w:line="240" w:lineRule="auto"/>
              <w:jc w:val="center"/>
              <w:rPr>
                <w:rFonts w:hint="eastAsia" w:ascii="宋体" w:hAnsi="宋体"/>
                <w:color w:val="auto"/>
                <w:sz w:val="18"/>
                <w:szCs w:val="18"/>
                <w:lang w:val="en-US" w:eastAsia="zh-CN"/>
              </w:rPr>
            </w:pPr>
          </w:p>
        </w:tc>
        <w:tc>
          <w:tcPr>
            <w:tcW w:w="815" w:type="pct"/>
            <w:vMerge w:val="continue"/>
          </w:tcPr>
          <w:p>
            <w:pPr>
              <w:spacing w:line="240" w:lineRule="auto"/>
              <w:jc w:val="center"/>
              <w:rPr>
                <w:rFonts w:hint="eastAsia" w:ascii="宋体" w:hAnsi="宋体"/>
                <w:color w:val="auto"/>
                <w:sz w:val="18"/>
                <w:szCs w:val="18"/>
                <w:lang w:val="en-US" w:eastAsia="zh-CN"/>
              </w:rPr>
            </w:pPr>
          </w:p>
        </w:tc>
        <w:tc>
          <w:tcPr>
            <w:tcW w:w="3758" w:type="pct"/>
            <w:vAlign w:val="center"/>
          </w:tcPr>
          <w:p>
            <w:pPr>
              <w:spacing w:line="240" w:lineRule="auto"/>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宣传</w:t>
            </w:r>
            <w:r>
              <w:rPr>
                <w:rFonts w:hint="eastAsia" w:ascii="宋体" w:hAnsi="宋体"/>
                <w:color w:val="auto"/>
                <w:sz w:val="18"/>
                <w:szCs w:val="18"/>
                <w:lang w:val="en-US" w:eastAsia="zh-CN"/>
              </w:rPr>
              <w:t>推广</w:t>
            </w:r>
          </w:p>
        </w:tc>
      </w:tr>
    </w:tbl>
    <w:p>
      <w:pPr>
        <w:pStyle w:val="57"/>
        <w:spacing w:beforeLines="50" w:afterLines="50"/>
        <w:ind w:firstLine="0" w:firstLineChars="0"/>
        <w:jc w:val="center"/>
        <w:rPr>
          <w:rFonts w:ascii="黑体" w:hAnsi="黑体" w:eastAsia="黑体"/>
          <w:color w:val="auto"/>
        </w:rPr>
      </w:pPr>
      <w:r>
        <w:rPr>
          <w:rFonts w:hint="eastAsia" w:ascii="黑体" w:hAnsi="黑体" w:eastAsia="黑体"/>
          <w:color w:val="auto"/>
        </w:rPr>
        <w:t>表1  绿色低碳货运企业评价指标构成</w:t>
      </w:r>
      <w:r>
        <w:rPr>
          <w:rFonts w:hint="eastAsia" w:hAnsi="宋体"/>
          <w:color w:val="auto"/>
        </w:rPr>
        <w:t>（续）</w:t>
      </w:r>
    </w:p>
    <w:tbl>
      <w:tblPr>
        <w:tblStyle w:val="28"/>
        <w:tblW w:w="506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25"/>
        <w:gridCol w:w="1575"/>
        <w:gridCol w:w="71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382" w:type="pct"/>
            <w:vMerge w:val="restar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5</w:t>
            </w:r>
          </w:p>
        </w:tc>
        <w:tc>
          <w:tcPr>
            <w:tcW w:w="830" w:type="pct"/>
            <w:vMerge w:val="restar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社会效益</w:t>
            </w:r>
          </w:p>
        </w:tc>
        <w:tc>
          <w:tcPr>
            <w:tcW w:w="3786" w:type="pc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信息披露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382" w:type="pct"/>
            <w:vMerge w:val="continue"/>
            <w:shd w:val="clear" w:color="auto" w:fill="auto"/>
            <w:vAlign w:val="center"/>
          </w:tcPr>
          <w:p>
            <w:pPr>
              <w:spacing w:line="240" w:lineRule="auto"/>
              <w:jc w:val="center"/>
              <w:rPr>
                <w:rFonts w:ascii="宋体" w:hAnsi="宋体"/>
                <w:color w:val="auto"/>
                <w:sz w:val="18"/>
                <w:szCs w:val="18"/>
              </w:rPr>
            </w:pPr>
          </w:p>
        </w:tc>
        <w:tc>
          <w:tcPr>
            <w:tcW w:w="830" w:type="pct"/>
            <w:vMerge w:val="continue"/>
            <w:shd w:val="clear" w:color="auto" w:fill="auto"/>
            <w:vAlign w:val="center"/>
          </w:tcPr>
          <w:p>
            <w:pPr>
              <w:spacing w:line="240" w:lineRule="auto"/>
              <w:jc w:val="center"/>
              <w:rPr>
                <w:rFonts w:ascii="宋体" w:hAnsi="宋体"/>
                <w:color w:val="auto"/>
                <w:sz w:val="18"/>
                <w:szCs w:val="18"/>
              </w:rPr>
            </w:pPr>
          </w:p>
        </w:tc>
        <w:tc>
          <w:tcPr>
            <w:tcW w:w="3786" w:type="pc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碳抵消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382" w:type="pct"/>
            <w:vMerge w:val="continue"/>
            <w:shd w:val="clear" w:color="auto" w:fill="auto"/>
            <w:vAlign w:val="center"/>
          </w:tcPr>
          <w:p>
            <w:pPr>
              <w:spacing w:line="240" w:lineRule="auto"/>
              <w:jc w:val="center"/>
              <w:rPr>
                <w:rFonts w:ascii="宋体" w:hAnsi="宋体"/>
                <w:color w:val="auto"/>
                <w:sz w:val="18"/>
                <w:szCs w:val="18"/>
              </w:rPr>
            </w:pPr>
          </w:p>
        </w:tc>
        <w:tc>
          <w:tcPr>
            <w:tcW w:w="830" w:type="pct"/>
            <w:vMerge w:val="continue"/>
            <w:shd w:val="clear" w:color="auto" w:fill="auto"/>
            <w:vAlign w:val="center"/>
          </w:tcPr>
          <w:p>
            <w:pPr>
              <w:spacing w:line="240" w:lineRule="auto"/>
              <w:jc w:val="center"/>
              <w:rPr>
                <w:rFonts w:ascii="宋体" w:hAnsi="宋体"/>
                <w:color w:val="auto"/>
                <w:sz w:val="18"/>
                <w:szCs w:val="18"/>
              </w:rPr>
            </w:pPr>
          </w:p>
        </w:tc>
        <w:tc>
          <w:tcPr>
            <w:tcW w:w="3786" w:type="pc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碳普惠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382" w:type="pct"/>
            <w:vMerge w:val="continue"/>
            <w:shd w:val="clear" w:color="auto" w:fill="auto"/>
            <w:vAlign w:val="center"/>
          </w:tcPr>
          <w:p>
            <w:pPr>
              <w:spacing w:line="240" w:lineRule="auto"/>
              <w:jc w:val="center"/>
              <w:rPr>
                <w:rFonts w:ascii="宋体" w:hAnsi="宋体"/>
                <w:color w:val="auto"/>
                <w:sz w:val="18"/>
                <w:szCs w:val="18"/>
              </w:rPr>
            </w:pPr>
          </w:p>
        </w:tc>
        <w:tc>
          <w:tcPr>
            <w:tcW w:w="830" w:type="pct"/>
            <w:vMerge w:val="continue"/>
            <w:shd w:val="clear" w:color="auto" w:fill="auto"/>
            <w:vAlign w:val="center"/>
          </w:tcPr>
          <w:p>
            <w:pPr>
              <w:spacing w:line="240" w:lineRule="auto"/>
              <w:jc w:val="center"/>
              <w:rPr>
                <w:rFonts w:ascii="宋体" w:hAnsi="宋体"/>
                <w:color w:val="auto"/>
                <w:sz w:val="18"/>
                <w:szCs w:val="18"/>
              </w:rPr>
            </w:pPr>
          </w:p>
        </w:tc>
        <w:tc>
          <w:tcPr>
            <w:tcW w:w="3786" w:type="pct"/>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社会合作</w:t>
            </w:r>
          </w:p>
        </w:tc>
      </w:tr>
    </w:tbl>
    <w:p>
      <w:pPr>
        <w:pStyle w:val="105"/>
        <w:spacing w:before="240" w:after="240"/>
        <w:rPr>
          <w:color w:val="auto"/>
        </w:rPr>
      </w:pPr>
      <w:bookmarkStart w:id="56" w:name="_Toc142557016"/>
      <w:r>
        <w:rPr>
          <w:rFonts w:hint="eastAsia"/>
          <w:color w:val="auto"/>
        </w:rPr>
        <w:t>评价方法</w:t>
      </w:r>
      <w:bookmarkEnd w:id="56"/>
    </w:p>
    <w:p>
      <w:pPr>
        <w:pStyle w:val="163"/>
        <w:ind w:firstLine="420" w:firstLineChars="200"/>
        <w:rPr>
          <w:color w:val="auto"/>
        </w:rPr>
      </w:pPr>
      <w:r>
        <w:rPr>
          <w:rFonts w:hint="eastAsia"/>
          <w:color w:val="auto"/>
        </w:rPr>
        <w:t>7.1绿色低碳道路货运企业评价方法采用评分方法，所有指标总得分为100分，各项指标的对应分值详见附录A。</w:t>
      </w:r>
    </w:p>
    <w:p>
      <w:pPr>
        <w:pStyle w:val="163"/>
        <w:ind w:firstLine="420" w:firstLineChars="200"/>
        <w:rPr>
          <w:color w:val="auto"/>
        </w:rPr>
      </w:pPr>
      <w:r>
        <w:rPr>
          <w:rFonts w:hint="eastAsia"/>
          <w:color w:val="auto"/>
        </w:rPr>
        <w:t>7.2评价结果以企业综合得分分值判定，企业按综合得分从高到低分别为AAAAA级、AAAA级、AAA级</w:t>
      </w:r>
      <w:r>
        <w:rPr>
          <w:rFonts w:hint="eastAsia"/>
          <w:color w:val="auto"/>
          <w:lang w:eastAsia="zh-CN"/>
        </w:rPr>
        <w:t>、</w:t>
      </w:r>
      <w:r>
        <w:rPr>
          <w:rFonts w:hint="eastAsia"/>
          <w:color w:val="auto"/>
          <w:lang w:val="en-US" w:eastAsia="zh-CN"/>
        </w:rPr>
        <w:t>AA级、NR级（NR级为未获得评级）五</w:t>
      </w:r>
      <w:r>
        <w:rPr>
          <w:rFonts w:hint="eastAsia"/>
          <w:color w:val="auto"/>
        </w:rPr>
        <w:t>个等级的绿色低碳道路货运企业，具体等级对应分值区间见表2。</w:t>
      </w:r>
    </w:p>
    <w:p>
      <w:pPr>
        <w:pStyle w:val="113"/>
        <w:spacing w:before="120" w:after="120"/>
        <w:rPr>
          <w:color w:val="auto"/>
        </w:rPr>
      </w:pPr>
      <w:r>
        <w:rPr>
          <w:rFonts w:hint="eastAsia"/>
          <w:color w:val="auto"/>
        </w:rPr>
        <w:t>绿色低碳货运企业评价结果</w:t>
      </w:r>
    </w:p>
    <w:tbl>
      <w:tblPr>
        <w:tblStyle w:val="28"/>
        <w:tblW w:w="500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76"/>
        <w:gridCol w:w="1682"/>
        <w:gridCol w:w="1682"/>
        <w:gridCol w:w="1682"/>
        <w:gridCol w:w="1682"/>
        <w:gridCol w:w="1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519"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等级</w:t>
            </w:r>
          </w:p>
        </w:tc>
        <w:tc>
          <w:tcPr>
            <w:tcW w:w="895"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lang w:val="en-US" w:eastAsia="zh-CN"/>
              </w:rPr>
              <w:t>NR</w:t>
            </w:r>
            <w:r>
              <w:rPr>
                <w:rFonts w:hint="eastAsia" w:ascii="宋体" w:hAnsi="宋体"/>
                <w:color w:val="auto"/>
                <w:sz w:val="18"/>
                <w:szCs w:val="18"/>
              </w:rPr>
              <w:t>级</w:t>
            </w:r>
          </w:p>
        </w:tc>
        <w:tc>
          <w:tcPr>
            <w:tcW w:w="895"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AA级</w:t>
            </w:r>
          </w:p>
        </w:tc>
        <w:tc>
          <w:tcPr>
            <w:tcW w:w="895"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AAA级</w:t>
            </w:r>
          </w:p>
        </w:tc>
        <w:tc>
          <w:tcPr>
            <w:tcW w:w="895" w:type="pct"/>
            <w:tcBorders>
              <w:top w:val="single" w:color="auto" w:sz="8" w:space="0"/>
              <w:bottom w:val="single" w:color="auto" w:sz="8" w:space="0"/>
            </w:tcBorders>
            <w:shd w:val="clear" w:color="auto" w:fill="auto"/>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rPr>
              <w:t>AAAA级</w:t>
            </w:r>
          </w:p>
        </w:tc>
        <w:tc>
          <w:tcPr>
            <w:tcW w:w="896" w:type="pct"/>
            <w:tcBorders>
              <w:top w:val="single" w:color="auto" w:sz="8" w:space="0"/>
              <w:bottom w:val="single" w:color="auto" w:sz="8" w:space="0"/>
            </w:tcBorders>
            <w:shd w:val="clear" w:color="auto" w:fill="auto"/>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rPr>
              <w:t>AAAAA级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519" w:type="pct"/>
            <w:tcBorders>
              <w:top w:val="single" w:color="auto" w:sz="8" w:space="0"/>
              <w:bottom w:val="single" w:color="auto" w:sz="8" w:space="0"/>
            </w:tcBorders>
            <w:shd w:val="clear" w:color="auto" w:fill="auto"/>
            <w:vAlign w:val="center"/>
          </w:tcPr>
          <w:p>
            <w:pPr>
              <w:pStyle w:val="57"/>
              <w:ind w:firstLine="0" w:firstLineChars="0"/>
              <w:jc w:val="center"/>
              <w:rPr>
                <w:rFonts w:hAnsi="宋体"/>
                <w:color w:val="auto"/>
                <w:kern w:val="2"/>
                <w:sz w:val="18"/>
                <w:szCs w:val="18"/>
              </w:rPr>
            </w:pPr>
            <w:bookmarkStart w:id="57" w:name="BookMark6"/>
            <w:r>
              <w:rPr>
                <w:rFonts w:hint="eastAsia" w:hAnsi="宋体"/>
                <w:color w:val="auto"/>
                <w:kern w:val="2"/>
                <w:sz w:val="18"/>
                <w:szCs w:val="18"/>
              </w:rPr>
              <w:t>分值区间</w:t>
            </w:r>
          </w:p>
        </w:tc>
        <w:tc>
          <w:tcPr>
            <w:tcW w:w="895" w:type="pct"/>
            <w:tcBorders>
              <w:top w:val="single" w:color="auto" w:sz="8" w:space="0"/>
              <w:bottom w:val="single" w:color="auto" w:sz="8" w:space="0"/>
            </w:tcBorders>
            <w:shd w:val="clear" w:color="auto" w:fill="auto"/>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0-59</w:t>
            </w:r>
          </w:p>
        </w:tc>
        <w:tc>
          <w:tcPr>
            <w:tcW w:w="895"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rPr>
              <w:t>0-</w:t>
            </w:r>
            <w:r>
              <w:rPr>
                <w:rFonts w:hint="eastAsia" w:ascii="宋体" w:hAnsi="宋体"/>
                <w:color w:val="auto"/>
                <w:sz w:val="18"/>
                <w:szCs w:val="18"/>
                <w:lang w:val="en-US" w:eastAsia="zh-CN"/>
              </w:rPr>
              <w:t>6</w:t>
            </w:r>
            <w:r>
              <w:rPr>
                <w:rFonts w:hint="eastAsia" w:ascii="宋体" w:hAnsi="宋体"/>
                <w:color w:val="auto"/>
                <w:sz w:val="18"/>
                <w:szCs w:val="18"/>
              </w:rPr>
              <w:t>9</w:t>
            </w:r>
          </w:p>
        </w:tc>
        <w:tc>
          <w:tcPr>
            <w:tcW w:w="895" w:type="pct"/>
            <w:tcBorders>
              <w:top w:val="single" w:color="auto" w:sz="8" w:space="0"/>
              <w:bottom w:val="single" w:color="auto" w:sz="8" w:space="0"/>
            </w:tcBorders>
            <w:shd w:val="clear" w:color="auto" w:fill="auto"/>
            <w:vAlign w:val="center"/>
          </w:tcPr>
          <w:p>
            <w:pPr>
              <w:spacing w:line="240" w:lineRule="auto"/>
              <w:jc w:val="center"/>
              <w:rPr>
                <w:rFonts w:ascii="宋体" w:hAnsi="宋体"/>
                <w:color w:val="auto"/>
                <w:sz w:val="18"/>
                <w:szCs w:val="18"/>
              </w:rPr>
            </w:pPr>
            <w:r>
              <w:rPr>
                <w:rFonts w:hint="eastAsia" w:ascii="宋体" w:hAnsi="宋体"/>
                <w:color w:val="auto"/>
                <w:sz w:val="18"/>
                <w:szCs w:val="18"/>
              </w:rPr>
              <w:t>70-79</w:t>
            </w:r>
          </w:p>
        </w:tc>
        <w:tc>
          <w:tcPr>
            <w:tcW w:w="895" w:type="pct"/>
            <w:tcBorders>
              <w:top w:val="single" w:color="auto" w:sz="8" w:space="0"/>
              <w:bottom w:val="single" w:color="auto" w:sz="8" w:space="0"/>
            </w:tcBorders>
            <w:shd w:val="clear" w:color="auto" w:fill="auto"/>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rPr>
              <w:t>80-89</w:t>
            </w:r>
          </w:p>
        </w:tc>
        <w:tc>
          <w:tcPr>
            <w:tcW w:w="896" w:type="pct"/>
            <w:tcBorders>
              <w:top w:val="single" w:color="auto" w:sz="8" w:space="0"/>
              <w:bottom w:val="single" w:color="auto" w:sz="8" w:space="0"/>
            </w:tcBorders>
            <w:shd w:val="clear" w:color="auto" w:fill="auto"/>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rPr>
              <w:t>90-100</w:t>
            </w:r>
          </w:p>
        </w:tc>
      </w:tr>
    </w:tbl>
    <w:p>
      <w:pPr>
        <w:spacing w:line="240" w:lineRule="auto"/>
        <w:rPr>
          <w:rFonts w:ascii="宋体" w:hAnsi="宋体"/>
          <w:color w:val="auto"/>
          <w:sz w:val="18"/>
          <w:szCs w:val="18"/>
        </w:rPr>
      </w:pPr>
    </w:p>
    <w:p>
      <w:pPr>
        <w:pStyle w:val="2"/>
        <w:rPr>
          <w:color w:val="auto"/>
        </w:rPr>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linePitch="312" w:charSpace="0"/>
        </w:sectPr>
      </w:pPr>
    </w:p>
    <w:bookmarkEnd w:id="8"/>
    <w:p>
      <w:pPr>
        <w:pStyle w:val="199"/>
        <w:rPr>
          <w:vanish w:val="0"/>
          <w:color w:val="auto"/>
        </w:rPr>
      </w:pPr>
      <w:bookmarkStart w:id="58" w:name="BookMark5"/>
    </w:p>
    <w:p>
      <w:pPr>
        <w:pStyle w:val="200"/>
        <w:rPr>
          <w:vanish w:val="0"/>
          <w:color w:val="auto"/>
        </w:rPr>
      </w:pPr>
    </w:p>
    <w:p>
      <w:pPr>
        <w:pStyle w:val="77"/>
        <w:spacing w:before="60" w:after="120"/>
        <w:rPr>
          <w:color w:val="auto"/>
        </w:rPr>
      </w:pPr>
      <w:r>
        <w:rPr>
          <w:color w:val="auto"/>
        </w:rPr>
        <w:br w:type="textWrapping"/>
      </w:r>
      <w:bookmarkStart w:id="59" w:name="_Toc142557017"/>
      <w:r>
        <w:rPr>
          <w:rFonts w:hint="eastAsia"/>
          <w:color w:val="auto"/>
        </w:rPr>
        <w:t>（资料性）</w:t>
      </w:r>
      <w:r>
        <w:rPr>
          <w:color w:val="auto"/>
        </w:rPr>
        <w:br w:type="textWrapping"/>
      </w:r>
      <w:r>
        <w:rPr>
          <w:rFonts w:hint="eastAsia"/>
          <w:color w:val="auto"/>
        </w:rPr>
        <w:t>绿色低碳道路货运企业评价指标评价细则</w:t>
      </w:r>
      <w:bookmarkEnd w:id="59"/>
    </w:p>
    <w:tbl>
      <w:tblPr>
        <w:tblStyle w:val="28"/>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1479"/>
        <w:gridCol w:w="6063"/>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40" w:lineRule="auto"/>
              <w:jc w:val="center"/>
              <w:rPr>
                <w:rFonts w:ascii="宋体" w:hAnsi="宋体"/>
                <w:color w:val="auto"/>
                <w:sz w:val="18"/>
                <w:szCs w:val="18"/>
              </w:rPr>
            </w:pPr>
            <w:r>
              <w:rPr>
                <w:rFonts w:hint="eastAsia" w:ascii="宋体" w:hAnsi="宋体"/>
                <w:color w:val="auto"/>
                <w:sz w:val="18"/>
                <w:szCs w:val="18"/>
              </w:rPr>
              <w:t>序号</w:t>
            </w:r>
          </w:p>
        </w:tc>
        <w:tc>
          <w:tcPr>
            <w:tcW w:w="993"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一级指标</w:t>
            </w:r>
          </w:p>
        </w:tc>
        <w:tc>
          <w:tcPr>
            <w:tcW w:w="1479"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二级指标</w:t>
            </w:r>
          </w:p>
        </w:tc>
        <w:tc>
          <w:tcPr>
            <w:tcW w:w="6063"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评分标准</w:t>
            </w:r>
          </w:p>
        </w:tc>
        <w:tc>
          <w:tcPr>
            <w:tcW w:w="63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1</w:t>
            </w:r>
          </w:p>
        </w:tc>
        <w:tc>
          <w:tcPr>
            <w:tcW w:w="993" w:type="dxa"/>
            <w:vMerge w:val="restart"/>
            <w:vAlign w:val="center"/>
          </w:tcPr>
          <w:p>
            <w:pPr>
              <w:pStyle w:val="57"/>
              <w:ind w:firstLine="0" w:firstLineChars="0"/>
              <w:jc w:val="center"/>
              <w:rPr>
                <w:rFonts w:hint="eastAsia" w:hAnsi="宋体" w:eastAsia="宋体"/>
                <w:color w:val="auto"/>
                <w:kern w:val="2"/>
                <w:sz w:val="18"/>
                <w:szCs w:val="18"/>
                <w:lang w:val="en-US" w:eastAsia="zh-CN"/>
              </w:rPr>
            </w:pPr>
            <w:r>
              <w:rPr>
                <w:rFonts w:hint="eastAsia" w:hAnsi="宋体"/>
                <w:color w:val="auto"/>
                <w:kern w:val="2"/>
                <w:sz w:val="18"/>
                <w:szCs w:val="18"/>
              </w:rPr>
              <w:t>绿色低碳</w:t>
            </w:r>
            <w:r>
              <w:rPr>
                <w:rFonts w:hint="eastAsia" w:hAnsi="宋体"/>
                <w:color w:val="auto"/>
                <w:kern w:val="2"/>
                <w:sz w:val="18"/>
                <w:szCs w:val="18"/>
                <w:lang w:val="en-US" w:eastAsia="zh-CN"/>
              </w:rPr>
              <w:t>管理</w:t>
            </w:r>
          </w:p>
        </w:tc>
        <w:tc>
          <w:tcPr>
            <w:tcW w:w="1479"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组织保障</w:t>
            </w:r>
          </w:p>
        </w:tc>
        <w:tc>
          <w:tcPr>
            <w:tcW w:w="6063"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企业绿色低碳</w:t>
            </w:r>
            <w:r>
              <w:rPr>
                <w:rFonts w:hint="eastAsia" w:ascii="宋体" w:hAnsi="宋体"/>
                <w:color w:val="auto"/>
                <w:sz w:val="18"/>
                <w:szCs w:val="18"/>
                <w:lang w:val="en-US" w:eastAsia="zh-CN"/>
              </w:rPr>
              <w:t>发展工作</w:t>
            </w:r>
            <w:r>
              <w:rPr>
                <w:rFonts w:hint="eastAsia" w:ascii="宋体" w:hAnsi="宋体"/>
                <w:color w:val="auto"/>
                <w:sz w:val="18"/>
                <w:szCs w:val="18"/>
              </w:rPr>
              <w:t>由企业最高管理者或管理层授权的管理者代表主导，并</w:t>
            </w:r>
            <w:r>
              <w:rPr>
                <w:rFonts w:hint="eastAsia" w:ascii="宋体" w:hAnsi="宋体"/>
                <w:color w:val="auto"/>
                <w:sz w:val="18"/>
                <w:szCs w:val="18"/>
                <w:lang w:val="en-US" w:eastAsia="zh-CN"/>
              </w:rPr>
              <w:t>有</w:t>
            </w:r>
            <w:r>
              <w:rPr>
                <w:rFonts w:hint="eastAsia" w:ascii="宋体" w:hAnsi="宋体"/>
                <w:color w:val="auto"/>
                <w:sz w:val="18"/>
                <w:szCs w:val="18"/>
              </w:rPr>
              <w:t>相应的</w:t>
            </w:r>
            <w:r>
              <w:rPr>
                <w:rFonts w:hint="eastAsia" w:ascii="宋体" w:hAnsi="宋体"/>
                <w:color w:val="auto"/>
                <w:sz w:val="18"/>
                <w:szCs w:val="18"/>
                <w:lang w:val="en-US" w:eastAsia="zh-CN"/>
              </w:rPr>
              <w:t>部门机构负责实施</w:t>
            </w:r>
            <w:r>
              <w:rPr>
                <w:rFonts w:hint="eastAsia" w:ascii="宋体" w:hAnsi="宋体"/>
                <w:color w:val="auto"/>
                <w:sz w:val="18"/>
                <w:szCs w:val="18"/>
              </w:rPr>
              <w:t>管理，得2分。</w:t>
            </w:r>
          </w:p>
        </w:tc>
        <w:tc>
          <w:tcPr>
            <w:tcW w:w="630"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75" w:type="dxa"/>
            <w:vMerge w:val="continue"/>
          </w:tcPr>
          <w:p>
            <w:pPr>
              <w:pStyle w:val="57"/>
              <w:ind w:firstLine="0" w:firstLineChars="0"/>
              <w:rPr>
                <w:color w:val="auto"/>
              </w:rPr>
            </w:pPr>
          </w:p>
        </w:tc>
        <w:tc>
          <w:tcPr>
            <w:tcW w:w="993" w:type="dxa"/>
            <w:vMerge w:val="continue"/>
          </w:tcPr>
          <w:p>
            <w:pPr>
              <w:pStyle w:val="57"/>
              <w:ind w:firstLine="0" w:firstLineChars="0"/>
              <w:rPr>
                <w:color w:val="auto"/>
              </w:rPr>
            </w:pPr>
          </w:p>
        </w:tc>
        <w:tc>
          <w:tcPr>
            <w:tcW w:w="1479"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战略目标</w:t>
            </w:r>
          </w:p>
        </w:tc>
        <w:tc>
          <w:tcPr>
            <w:tcW w:w="6063" w:type="dxa"/>
            <w:vAlign w:val="center"/>
          </w:tcPr>
          <w:p>
            <w:pPr>
              <w:widowControl/>
              <w:spacing w:line="240" w:lineRule="auto"/>
              <w:jc w:val="left"/>
              <w:textAlignment w:val="center"/>
              <w:rPr>
                <w:rFonts w:hint="eastAsia" w:eastAsia="宋体"/>
                <w:color w:val="auto"/>
                <w:lang w:eastAsia="zh-CN"/>
              </w:rPr>
            </w:pPr>
            <w:r>
              <w:rPr>
                <w:rFonts w:hint="eastAsia" w:ascii="宋体" w:hAnsi="宋体"/>
                <w:color w:val="auto"/>
                <w:sz w:val="18"/>
                <w:szCs w:val="18"/>
              </w:rPr>
              <w:t>企业确立绿色低碳发展战略</w:t>
            </w:r>
            <w:r>
              <w:rPr>
                <w:rFonts w:hint="eastAsia" w:ascii="宋体" w:hAnsi="宋体"/>
                <w:color w:val="auto"/>
                <w:sz w:val="18"/>
                <w:szCs w:val="18"/>
                <w:lang w:val="en-US" w:eastAsia="zh-CN"/>
              </w:rPr>
              <w:t>或目标</w:t>
            </w:r>
            <w:r>
              <w:rPr>
                <w:rFonts w:hint="eastAsia" w:ascii="宋体" w:hAnsi="宋体"/>
                <w:color w:val="auto"/>
                <w:sz w:val="18"/>
                <w:szCs w:val="18"/>
              </w:rPr>
              <w:t>，得</w:t>
            </w:r>
            <w:r>
              <w:rPr>
                <w:rFonts w:hint="eastAsia" w:ascii="宋体" w:hAnsi="宋体"/>
                <w:color w:val="auto"/>
                <w:sz w:val="18"/>
                <w:szCs w:val="18"/>
                <w:lang w:val="en-US" w:eastAsia="zh-CN"/>
              </w:rPr>
              <w:t>1</w:t>
            </w:r>
            <w:r>
              <w:rPr>
                <w:rFonts w:hint="eastAsia" w:ascii="宋体" w:hAnsi="宋体"/>
                <w:color w:val="auto"/>
                <w:sz w:val="18"/>
                <w:szCs w:val="18"/>
              </w:rPr>
              <w:t>分</w:t>
            </w:r>
            <w:r>
              <w:rPr>
                <w:rFonts w:hint="eastAsia" w:ascii="宋体" w:hAnsi="宋体"/>
                <w:color w:val="auto"/>
                <w:sz w:val="18"/>
                <w:szCs w:val="18"/>
                <w:lang w:eastAsia="zh-CN"/>
              </w:rPr>
              <w:t>。</w:t>
            </w:r>
          </w:p>
        </w:tc>
        <w:tc>
          <w:tcPr>
            <w:tcW w:w="630"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75" w:type="dxa"/>
            <w:vMerge w:val="continue"/>
          </w:tcPr>
          <w:p>
            <w:pPr>
              <w:widowControl/>
              <w:spacing w:line="240" w:lineRule="auto"/>
              <w:jc w:val="center"/>
              <w:textAlignment w:val="center"/>
              <w:rPr>
                <w:color w:val="auto"/>
              </w:rPr>
            </w:pPr>
          </w:p>
        </w:tc>
        <w:tc>
          <w:tcPr>
            <w:tcW w:w="993" w:type="dxa"/>
            <w:vMerge w:val="continue"/>
          </w:tcPr>
          <w:p>
            <w:pPr>
              <w:widowControl/>
              <w:spacing w:line="240" w:lineRule="auto"/>
              <w:jc w:val="center"/>
              <w:textAlignment w:val="center"/>
              <w:rPr>
                <w:color w:val="auto"/>
              </w:rPr>
            </w:pPr>
          </w:p>
        </w:tc>
        <w:tc>
          <w:tcPr>
            <w:tcW w:w="1479" w:type="dxa"/>
            <w:vAlign w:val="center"/>
          </w:tcPr>
          <w:p>
            <w:pPr>
              <w:widowControl/>
              <w:spacing w:line="240" w:lineRule="auto"/>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规划实施</w:t>
            </w:r>
          </w:p>
        </w:tc>
        <w:tc>
          <w:tcPr>
            <w:tcW w:w="6063" w:type="dxa"/>
            <w:vAlign w:val="center"/>
          </w:tcPr>
          <w:p>
            <w:pPr>
              <w:widowControl/>
              <w:spacing w:line="240" w:lineRule="auto"/>
              <w:jc w:val="both"/>
              <w:textAlignment w:val="center"/>
              <w:rPr>
                <w:rFonts w:hint="eastAsia" w:ascii="宋体" w:hAnsi="宋体"/>
                <w:color w:val="auto"/>
                <w:sz w:val="18"/>
                <w:szCs w:val="18"/>
                <w:lang w:val="en-US" w:eastAsia="zh-CN"/>
              </w:rPr>
            </w:pPr>
            <w:r>
              <w:rPr>
                <w:rFonts w:hint="eastAsia" w:ascii="宋体" w:hAnsi="宋体"/>
                <w:color w:val="auto"/>
                <w:sz w:val="18"/>
                <w:szCs w:val="18"/>
              </w:rPr>
              <w:t>企业</w:t>
            </w:r>
            <w:r>
              <w:rPr>
                <w:rFonts w:hint="eastAsia" w:ascii="宋体" w:hAnsi="宋体"/>
                <w:color w:val="auto"/>
                <w:sz w:val="18"/>
                <w:szCs w:val="18"/>
                <w:lang w:val="en-US" w:eastAsia="zh-CN"/>
              </w:rPr>
              <w:t>制定并落实</w:t>
            </w:r>
            <w:r>
              <w:rPr>
                <w:rFonts w:hint="eastAsia" w:ascii="宋体" w:hAnsi="宋体"/>
                <w:color w:val="auto"/>
                <w:sz w:val="18"/>
                <w:szCs w:val="18"/>
              </w:rPr>
              <w:t>绿色低碳</w:t>
            </w:r>
            <w:r>
              <w:rPr>
                <w:rFonts w:hint="eastAsia" w:ascii="宋体" w:hAnsi="宋体"/>
                <w:color w:val="auto"/>
                <w:sz w:val="18"/>
                <w:szCs w:val="18"/>
                <w:lang w:val="en-US" w:eastAsia="zh-CN"/>
              </w:rPr>
              <w:t>发展规划</w:t>
            </w:r>
            <w:r>
              <w:rPr>
                <w:rFonts w:hint="eastAsia" w:ascii="宋体" w:hAnsi="宋体"/>
                <w:color w:val="auto"/>
                <w:sz w:val="18"/>
                <w:szCs w:val="18"/>
              </w:rPr>
              <w:t>，包括职责、措施、改进绩效和评估方式</w:t>
            </w:r>
            <w:r>
              <w:rPr>
                <w:rFonts w:hint="eastAsia" w:ascii="宋体" w:hAnsi="宋体"/>
                <w:color w:val="auto"/>
                <w:sz w:val="18"/>
                <w:szCs w:val="18"/>
                <w:lang w:val="en-US" w:eastAsia="zh-CN"/>
              </w:rPr>
              <w:t>等内容</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p>
        </w:tc>
        <w:tc>
          <w:tcPr>
            <w:tcW w:w="630" w:type="dxa"/>
            <w:vAlign w:val="center"/>
          </w:tcPr>
          <w:p>
            <w:pPr>
              <w:widowControl/>
              <w:spacing w:line="240" w:lineRule="auto"/>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pStyle w:val="57"/>
              <w:ind w:firstLine="0" w:firstLineChars="0"/>
              <w:rPr>
                <w:color w:val="auto"/>
              </w:rPr>
            </w:pPr>
          </w:p>
        </w:tc>
        <w:tc>
          <w:tcPr>
            <w:tcW w:w="993" w:type="dxa"/>
            <w:vMerge w:val="continue"/>
          </w:tcPr>
          <w:p>
            <w:pPr>
              <w:pStyle w:val="57"/>
              <w:ind w:firstLine="0" w:firstLineChars="0"/>
              <w:rPr>
                <w:color w:val="auto"/>
              </w:rPr>
            </w:pPr>
          </w:p>
        </w:tc>
        <w:tc>
          <w:tcPr>
            <w:tcW w:w="1479" w:type="dxa"/>
            <w:vAlign w:val="center"/>
          </w:tcPr>
          <w:p>
            <w:pPr>
              <w:widowControl/>
              <w:spacing w:line="240" w:lineRule="auto"/>
              <w:jc w:val="center"/>
              <w:textAlignment w:val="center"/>
              <w:rPr>
                <w:rFonts w:hint="eastAsia" w:ascii="宋体" w:hAnsi="宋体" w:eastAsia="宋体"/>
                <w:color w:val="auto"/>
                <w:sz w:val="18"/>
                <w:szCs w:val="18"/>
                <w:lang w:val="en-US" w:eastAsia="zh-CN"/>
              </w:rPr>
            </w:pPr>
            <w:r>
              <w:rPr>
                <w:rFonts w:hint="eastAsia" w:ascii="宋体" w:hAnsi="宋体"/>
                <w:color w:val="auto"/>
                <w:sz w:val="18"/>
                <w:szCs w:val="18"/>
              </w:rPr>
              <w:t>碳</w:t>
            </w:r>
            <w:r>
              <w:rPr>
                <w:rFonts w:hint="eastAsia" w:ascii="宋体" w:hAnsi="宋体"/>
                <w:color w:val="auto"/>
                <w:sz w:val="18"/>
                <w:szCs w:val="18"/>
                <w:lang w:val="en-US" w:eastAsia="zh-CN"/>
              </w:rPr>
              <w:t>排放管理</w:t>
            </w:r>
          </w:p>
        </w:tc>
        <w:tc>
          <w:tcPr>
            <w:tcW w:w="6063" w:type="dxa"/>
            <w:vAlign w:val="center"/>
          </w:tcPr>
          <w:p>
            <w:pPr>
              <w:widowControl/>
              <w:spacing w:line="240" w:lineRule="auto"/>
              <w:jc w:val="left"/>
              <w:textAlignment w:val="center"/>
            </w:pPr>
            <w:r>
              <w:rPr>
                <w:rFonts w:hint="eastAsia" w:ascii="宋体" w:hAnsi="宋体"/>
                <w:color w:val="auto"/>
                <w:sz w:val="18"/>
                <w:szCs w:val="18"/>
              </w:rPr>
              <w:t>企业</w:t>
            </w:r>
            <w:r>
              <w:rPr>
                <w:rFonts w:hint="eastAsia" w:ascii="宋体" w:hAnsi="宋体"/>
                <w:color w:val="auto"/>
                <w:sz w:val="18"/>
                <w:szCs w:val="18"/>
                <w:lang w:val="en-US" w:eastAsia="zh-CN"/>
              </w:rPr>
              <w:t>通过</w:t>
            </w:r>
            <w:r>
              <w:rPr>
                <w:rFonts w:hint="eastAsia" w:ascii="宋体" w:hAnsi="宋体"/>
                <w:color w:val="auto"/>
                <w:sz w:val="18"/>
                <w:szCs w:val="18"/>
              </w:rPr>
              <w:t>自主</w:t>
            </w:r>
            <w:r>
              <w:rPr>
                <w:rFonts w:hint="eastAsia" w:ascii="宋体" w:hAnsi="宋体"/>
                <w:color w:val="auto"/>
                <w:sz w:val="18"/>
                <w:szCs w:val="18"/>
                <w:lang w:val="en-US" w:eastAsia="zh-CN"/>
              </w:rPr>
              <w:t>建设</w:t>
            </w:r>
            <w:r>
              <w:rPr>
                <w:rFonts w:hint="eastAsia" w:ascii="宋体" w:hAnsi="宋体"/>
                <w:color w:val="auto"/>
                <w:sz w:val="18"/>
                <w:szCs w:val="18"/>
              </w:rPr>
              <w:t>或合作</w:t>
            </w:r>
            <w:r>
              <w:rPr>
                <w:rFonts w:hint="eastAsia" w:ascii="宋体" w:hAnsi="宋体"/>
                <w:color w:val="auto"/>
                <w:sz w:val="18"/>
                <w:szCs w:val="18"/>
                <w:lang w:val="en-US" w:eastAsia="zh-CN"/>
              </w:rPr>
              <w:t>等</w:t>
            </w:r>
            <w:r>
              <w:rPr>
                <w:rFonts w:hint="eastAsia" w:ascii="宋体" w:hAnsi="宋体"/>
                <w:color w:val="auto"/>
                <w:sz w:val="18"/>
                <w:szCs w:val="18"/>
              </w:rPr>
              <w:t>方式，</w:t>
            </w:r>
            <w:r>
              <w:rPr>
                <w:rFonts w:hint="eastAsia" w:ascii="宋体" w:hAnsi="宋体"/>
                <w:color w:val="auto"/>
                <w:sz w:val="18"/>
                <w:szCs w:val="18"/>
                <w:lang w:val="en-US" w:eastAsia="zh-CN"/>
              </w:rPr>
              <w:t>搭建了</w:t>
            </w:r>
            <w:r>
              <w:rPr>
                <w:rFonts w:hint="eastAsia" w:ascii="宋体" w:hAnsi="宋体" w:eastAsia="宋体" w:cs="Times New Roman"/>
                <w:color w:val="auto"/>
                <w:kern w:val="2"/>
                <w:sz w:val="18"/>
                <w:szCs w:val="18"/>
                <w:lang w:val="en-US" w:eastAsia="zh-CN" w:bidi="ar-SA"/>
              </w:rPr>
              <w:t>绿色低碳管理平台，</w:t>
            </w:r>
            <w:r>
              <w:rPr>
                <w:rFonts w:hint="eastAsia" w:ascii="宋体" w:hAnsi="宋体" w:cs="Times New Roman"/>
                <w:color w:val="auto"/>
                <w:kern w:val="2"/>
                <w:sz w:val="18"/>
                <w:szCs w:val="18"/>
                <w:lang w:val="en-US" w:eastAsia="zh-CN" w:bidi="ar-SA"/>
              </w:rPr>
              <w:t>可</w:t>
            </w:r>
            <w:r>
              <w:rPr>
                <w:rFonts w:hint="eastAsia" w:ascii="宋体" w:hAnsi="宋体" w:eastAsia="宋体" w:cs="Times New Roman"/>
                <w:color w:val="auto"/>
                <w:kern w:val="2"/>
                <w:sz w:val="18"/>
                <w:szCs w:val="18"/>
                <w:lang w:val="en-US" w:eastAsia="zh-CN" w:bidi="ar-SA"/>
              </w:rPr>
              <w:t>监测企业碳排放、碳交易等碳数据，得</w:t>
            </w:r>
            <w:r>
              <w:rPr>
                <w:rFonts w:hint="eastAsia" w:ascii="宋体" w:hAnsi="宋体" w:cs="Times New Roman"/>
                <w:color w:val="auto"/>
                <w:kern w:val="2"/>
                <w:sz w:val="18"/>
                <w:szCs w:val="18"/>
                <w:lang w:val="en-US" w:eastAsia="zh-CN" w:bidi="ar-SA"/>
              </w:rPr>
              <w:t>5</w:t>
            </w:r>
            <w:r>
              <w:rPr>
                <w:rFonts w:hint="eastAsia" w:ascii="宋体" w:hAnsi="宋体" w:eastAsia="宋体" w:cs="Times New Roman"/>
                <w:color w:val="auto"/>
                <w:kern w:val="2"/>
                <w:sz w:val="18"/>
                <w:szCs w:val="18"/>
                <w:lang w:val="en-US" w:eastAsia="zh-CN" w:bidi="ar-SA"/>
              </w:rPr>
              <w:t>分。</w:t>
            </w:r>
          </w:p>
        </w:tc>
        <w:tc>
          <w:tcPr>
            <w:tcW w:w="630"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pStyle w:val="57"/>
              <w:ind w:firstLine="0" w:firstLineChars="0"/>
              <w:rPr>
                <w:color w:val="auto"/>
              </w:rPr>
            </w:pPr>
          </w:p>
        </w:tc>
        <w:tc>
          <w:tcPr>
            <w:tcW w:w="993" w:type="dxa"/>
            <w:vMerge w:val="continue"/>
          </w:tcPr>
          <w:p>
            <w:pPr>
              <w:pStyle w:val="57"/>
              <w:ind w:firstLine="0" w:firstLineChars="0"/>
              <w:rPr>
                <w:color w:val="auto"/>
              </w:rPr>
            </w:pPr>
          </w:p>
        </w:tc>
        <w:tc>
          <w:tcPr>
            <w:tcW w:w="1479"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能耗监测</w:t>
            </w:r>
          </w:p>
        </w:tc>
        <w:tc>
          <w:tcPr>
            <w:tcW w:w="6063"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w:t>
            </w:r>
            <w:r>
              <w:rPr>
                <w:rFonts w:hint="eastAsia" w:ascii="宋体" w:hAnsi="宋体"/>
                <w:color w:val="auto"/>
                <w:sz w:val="18"/>
                <w:szCs w:val="18"/>
                <w:lang w:val="en-US" w:eastAsia="zh-CN"/>
              </w:rPr>
              <w:t>对经营活动中的综合</w:t>
            </w:r>
            <w:r>
              <w:rPr>
                <w:rFonts w:hint="eastAsia" w:ascii="宋体" w:hAnsi="宋体"/>
                <w:color w:val="auto"/>
                <w:sz w:val="18"/>
                <w:szCs w:val="18"/>
              </w:rPr>
              <w:t>能耗</w:t>
            </w:r>
            <w:r>
              <w:rPr>
                <w:rFonts w:hint="eastAsia" w:ascii="宋体" w:hAnsi="宋体"/>
                <w:color w:val="auto"/>
                <w:sz w:val="18"/>
                <w:szCs w:val="18"/>
                <w:lang w:val="en-US" w:eastAsia="zh-CN"/>
              </w:rPr>
              <w:t>实施了监测</w:t>
            </w:r>
            <w:r>
              <w:rPr>
                <w:rFonts w:hint="eastAsia" w:ascii="宋体" w:hAnsi="宋体"/>
                <w:color w:val="auto"/>
                <w:sz w:val="18"/>
                <w:szCs w:val="18"/>
              </w:rPr>
              <w:t>，得</w:t>
            </w:r>
            <w:r>
              <w:rPr>
                <w:rFonts w:hint="eastAsia" w:ascii="宋体" w:hAnsi="宋体"/>
                <w:color w:val="auto"/>
                <w:sz w:val="18"/>
                <w:szCs w:val="18"/>
                <w:lang w:val="en-US" w:eastAsia="zh-CN"/>
              </w:rPr>
              <w:t>5</w:t>
            </w:r>
            <w:r>
              <w:rPr>
                <w:rFonts w:hint="eastAsia" w:ascii="宋体" w:hAnsi="宋体"/>
                <w:color w:val="auto"/>
                <w:sz w:val="18"/>
                <w:szCs w:val="18"/>
              </w:rPr>
              <w:t>分。</w:t>
            </w:r>
          </w:p>
        </w:tc>
        <w:tc>
          <w:tcPr>
            <w:tcW w:w="630" w:type="dxa"/>
            <w:vAlign w:val="center"/>
          </w:tcPr>
          <w:p>
            <w:pPr>
              <w:widowControl/>
              <w:spacing w:line="240" w:lineRule="auto"/>
              <w:jc w:val="center"/>
              <w:textAlignment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2</w:t>
            </w:r>
          </w:p>
        </w:tc>
        <w:tc>
          <w:tcPr>
            <w:tcW w:w="993"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运输管理</w:t>
            </w:r>
          </w:p>
        </w:tc>
        <w:tc>
          <w:tcPr>
            <w:tcW w:w="1479" w:type="dxa"/>
            <w:vMerge w:val="restart"/>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绿色运力</w:t>
            </w:r>
          </w:p>
        </w:tc>
        <w:tc>
          <w:tcPr>
            <w:tcW w:w="6063" w:type="dxa"/>
            <w:vAlign w:val="center"/>
          </w:tcPr>
          <w:p>
            <w:pPr>
              <w:widowControl/>
              <w:spacing w:line="240" w:lineRule="auto"/>
              <w:jc w:val="left"/>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企业在新能源及清洁能源运力适用场景中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积极推动</w:t>
            </w:r>
            <w:r>
              <w:rPr>
                <w:rFonts w:hint="eastAsia" w:ascii="宋体" w:hAnsi="宋体"/>
                <w:color w:val="auto"/>
                <w:sz w:val="18"/>
                <w:szCs w:val="18"/>
                <w:highlight w:val="none"/>
              </w:rPr>
              <w:t>新能源及清洁能源货车</w:t>
            </w:r>
            <w:r>
              <w:rPr>
                <w:rFonts w:hint="eastAsia" w:ascii="宋体" w:hAnsi="宋体"/>
                <w:color w:val="auto"/>
                <w:sz w:val="18"/>
                <w:szCs w:val="18"/>
                <w:highlight w:val="none"/>
                <w:lang w:eastAsia="zh-CN"/>
              </w:rPr>
              <w:t>（</w:t>
            </w:r>
            <w:r>
              <w:rPr>
                <w:rFonts w:hint="eastAsia" w:ascii="宋体" w:hAnsi="宋体"/>
                <w:color w:val="auto"/>
                <w:sz w:val="18"/>
                <w:szCs w:val="18"/>
                <w:highlight w:val="none"/>
              </w:rPr>
              <w:t>包括纯电动汽车、混合动力汽车、燃料电池电动汽车、天然气汽车、氢能汽车等道路货运车辆</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替代传统燃油货车</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得3分。</w:t>
            </w:r>
          </w:p>
        </w:tc>
        <w:tc>
          <w:tcPr>
            <w:tcW w:w="630" w:type="dxa"/>
            <w:vMerge w:val="restart"/>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continue"/>
          </w:tcPr>
          <w:p>
            <w:pPr>
              <w:widowControl/>
              <w:spacing w:line="240" w:lineRule="auto"/>
              <w:jc w:val="center"/>
              <w:textAlignment w:val="center"/>
              <w:rPr>
                <w:rFonts w:ascii="宋体" w:hAnsi="宋体"/>
                <w:color w:val="auto"/>
                <w:sz w:val="18"/>
                <w:szCs w:val="18"/>
              </w:rPr>
            </w:pPr>
          </w:p>
        </w:tc>
        <w:tc>
          <w:tcPr>
            <w:tcW w:w="6063" w:type="dxa"/>
            <w:vAlign w:val="center"/>
          </w:tcPr>
          <w:p>
            <w:pPr>
              <w:widowControl/>
              <w:spacing w:line="240" w:lineRule="auto"/>
              <w:jc w:val="left"/>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企业累计投入运营的</w:t>
            </w:r>
            <w:r>
              <w:rPr>
                <w:rFonts w:hint="eastAsia" w:ascii="宋体" w:hAnsi="宋体"/>
                <w:color w:val="auto"/>
                <w:sz w:val="18"/>
                <w:szCs w:val="18"/>
                <w:highlight w:val="none"/>
                <w:lang w:val="en-US" w:eastAsia="zh-CN"/>
              </w:rPr>
              <w:t>自有及外协</w:t>
            </w:r>
            <w:r>
              <w:rPr>
                <w:rFonts w:hint="eastAsia" w:ascii="宋体" w:hAnsi="宋体"/>
                <w:color w:val="auto"/>
                <w:sz w:val="18"/>
                <w:szCs w:val="18"/>
                <w:highlight w:val="none"/>
              </w:rPr>
              <w:t>新能源及清洁能源货车</w:t>
            </w:r>
            <w:r>
              <w:rPr>
                <w:rFonts w:hint="eastAsia" w:ascii="宋体" w:hAnsi="宋体"/>
                <w:color w:val="auto"/>
                <w:sz w:val="18"/>
                <w:szCs w:val="18"/>
                <w:highlight w:val="none"/>
                <w:lang w:val="en-US" w:eastAsia="zh-CN"/>
              </w:rPr>
              <w:t>数量：</w:t>
            </w:r>
          </w:p>
          <w:p>
            <w:pPr>
              <w:widowControl/>
              <w:spacing w:line="240" w:lineRule="auto"/>
              <w:jc w:val="left"/>
              <w:textAlignment w:val="center"/>
              <w:rPr>
                <w:rFonts w:ascii="宋体" w:hAnsi="宋体"/>
                <w:color w:val="auto"/>
                <w:sz w:val="18"/>
                <w:szCs w:val="18"/>
                <w:highlight w:val="none"/>
              </w:rPr>
            </w:pPr>
            <w:r>
              <w:rPr>
                <w:rFonts w:hint="eastAsia" w:ascii="宋体" w:hAnsi="宋体"/>
                <w:color w:val="auto"/>
                <w:sz w:val="18"/>
                <w:szCs w:val="18"/>
                <w:highlight w:val="none"/>
              </w:rPr>
              <w:t>达到</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0辆，得1分；</w:t>
            </w:r>
          </w:p>
          <w:p>
            <w:pPr>
              <w:widowControl/>
              <w:spacing w:line="240" w:lineRule="auto"/>
              <w:jc w:val="left"/>
              <w:textAlignment w:val="center"/>
              <w:rPr>
                <w:rFonts w:ascii="宋体" w:hAnsi="宋体"/>
                <w:color w:val="auto"/>
                <w:sz w:val="18"/>
                <w:szCs w:val="18"/>
                <w:highlight w:val="none"/>
              </w:rPr>
            </w:pPr>
            <w:r>
              <w:rPr>
                <w:rFonts w:hint="eastAsia" w:ascii="宋体" w:hAnsi="宋体"/>
                <w:color w:val="auto"/>
                <w:sz w:val="18"/>
                <w:szCs w:val="18"/>
                <w:highlight w:val="none"/>
              </w:rPr>
              <w:t>达到</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0辆，得2分；</w:t>
            </w:r>
          </w:p>
          <w:p>
            <w:pPr>
              <w:widowControl/>
              <w:spacing w:line="240" w:lineRule="auto"/>
              <w:jc w:val="left"/>
              <w:textAlignment w:val="center"/>
              <w:rPr>
                <w:rFonts w:ascii="宋体" w:hAnsi="宋体"/>
                <w:color w:val="auto"/>
                <w:sz w:val="18"/>
                <w:szCs w:val="18"/>
                <w:highlight w:val="none"/>
              </w:rPr>
            </w:pPr>
            <w:r>
              <w:rPr>
                <w:rFonts w:hint="eastAsia" w:ascii="宋体" w:hAnsi="宋体"/>
                <w:color w:val="auto"/>
                <w:sz w:val="18"/>
                <w:szCs w:val="18"/>
                <w:highlight w:val="none"/>
              </w:rPr>
              <w:t>达到</w:t>
            </w:r>
            <w:r>
              <w:rPr>
                <w:rFonts w:hint="eastAsia" w:ascii="宋体" w:hAnsi="宋体"/>
                <w:color w:val="auto"/>
                <w:sz w:val="18"/>
                <w:szCs w:val="18"/>
                <w:highlight w:val="none"/>
                <w:lang w:val="en-US" w:eastAsia="zh-CN"/>
              </w:rPr>
              <w:t>10</w:t>
            </w:r>
            <w:r>
              <w:rPr>
                <w:rFonts w:hint="eastAsia" w:ascii="宋体" w:hAnsi="宋体"/>
                <w:color w:val="auto"/>
                <w:sz w:val="18"/>
                <w:szCs w:val="18"/>
                <w:highlight w:val="none"/>
              </w:rPr>
              <w:t>0辆，得3分。</w:t>
            </w:r>
          </w:p>
        </w:tc>
        <w:tc>
          <w:tcPr>
            <w:tcW w:w="630" w:type="dxa"/>
            <w:vMerge w:val="continue"/>
            <w:vAlign w:val="center"/>
          </w:tcPr>
          <w:p>
            <w:pPr>
              <w:widowControl/>
              <w:spacing w:line="240" w:lineRule="auto"/>
              <w:jc w:val="center"/>
              <w:textAlignment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restart"/>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车辆排放</w:t>
            </w:r>
          </w:p>
        </w:tc>
        <w:tc>
          <w:tcPr>
            <w:tcW w:w="6063" w:type="dxa"/>
            <w:vAlign w:val="center"/>
          </w:tcPr>
          <w:p>
            <w:pPr>
              <w:widowControl/>
              <w:spacing w:line="240" w:lineRule="auto"/>
              <w:jc w:val="left"/>
              <w:textAlignment w:val="center"/>
              <w:rPr>
                <w:rFonts w:hint="eastAsia" w:ascii="宋体" w:hAnsi="宋体"/>
                <w:color w:val="auto"/>
                <w:sz w:val="18"/>
                <w:szCs w:val="18"/>
                <w:lang w:eastAsia="zh-CN"/>
              </w:rPr>
            </w:pPr>
            <w:r>
              <w:rPr>
                <w:rFonts w:hint="eastAsia" w:ascii="宋体" w:hAnsi="宋体"/>
                <w:color w:val="auto"/>
                <w:sz w:val="18"/>
                <w:szCs w:val="18"/>
              </w:rPr>
              <w:t>企业</w:t>
            </w:r>
            <w:r>
              <w:rPr>
                <w:rFonts w:hint="eastAsia" w:ascii="宋体" w:hAnsi="宋体"/>
                <w:color w:val="auto"/>
                <w:sz w:val="18"/>
                <w:szCs w:val="18"/>
                <w:lang w:val="en-US" w:eastAsia="zh-CN"/>
              </w:rPr>
              <w:t>达到</w:t>
            </w:r>
            <w:r>
              <w:rPr>
                <w:rFonts w:hint="eastAsia" w:ascii="宋体" w:hAnsi="宋体"/>
                <w:color w:val="auto"/>
                <w:sz w:val="18"/>
                <w:szCs w:val="18"/>
              </w:rPr>
              <w:t>国家第六阶段机动车污染物排放标准的</w:t>
            </w:r>
            <w:r>
              <w:rPr>
                <w:rFonts w:hint="eastAsia" w:ascii="宋体" w:hAnsi="宋体"/>
                <w:color w:val="auto"/>
                <w:sz w:val="18"/>
                <w:szCs w:val="18"/>
                <w:lang w:val="en-US" w:eastAsia="zh-CN"/>
              </w:rPr>
              <w:t>自有及外协</w:t>
            </w:r>
            <w:r>
              <w:rPr>
                <w:rFonts w:hint="eastAsia" w:ascii="宋体" w:hAnsi="宋体"/>
                <w:color w:val="auto"/>
                <w:sz w:val="18"/>
                <w:szCs w:val="18"/>
              </w:rPr>
              <w:t>货运车辆</w:t>
            </w:r>
            <w:r>
              <w:rPr>
                <w:rFonts w:hint="eastAsia" w:ascii="宋体" w:hAnsi="宋体"/>
                <w:color w:val="auto"/>
                <w:sz w:val="18"/>
                <w:szCs w:val="18"/>
                <w:lang w:val="en-US" w:eastAsia="zh-CN"/>
              </w:rPr>
              <w:t>数量</w:t>
            </w:r>
            <w:r>
              <w:rPr>
                <w:rFonts w:hint="eastAsia" w:ascii="宋体" w:hAnsi="宋体"/>
                <w:color w:val="auto"/>
                <w:sz w:val="18"/>
                <w:szCs w:val="18"/>
                <w:lang w:eastAsia="zh-CN"/>
              </w:rPr>
              <w:t>：</w:t>
            </w:r>
          </w:p>
          <w:p>
            <w:pPr>
              <w:widowControl/>
              <w:spacing w:line="240" w:lineRule="auto"/>
              <w:jc w:val="left"/>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占总货车数量的</w:t>
            </w:r>
            <w:r>
              <w:rPr>
                <w:rFonts w:hint="eastAsia" w:ascii="宋体" w:hAnsi="宋体"/>
                <w:color w:val="auto"/>
                <w:sz w:val="18"/>
                <w:szCs w:val="18"/>
              </w:rPr>
              <w:t>比重≥</w:t>
            </w:r>
            <w:r>
              <w:rPr>
                <w:rFonts w:hint="eastAsia" w:ascii="宋体" w:hAnsi="宋体"/>
                <w:color w:val="auto"/>
                <w:sz w:val="18"/>
                <w:szCs w:val="18"/>
                <w:lang w:val="en-US" w:eastAsia="zh-CN"/>
              </w:rPr>
              <w:t>3%，得1分；</w:t>
            </w:r>
          </w:p>
          <w:p>
            <w:pPr>
              <w:widowControl/>
              <w:spacing w:line="240" w:lineRule="auto"/>
              <w:jc w:val="left"/>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占总货车数量的</w:t>
            </w:r>
            <w:r>
              <w:rPr>
                <w:rFonts w:hint="eastAsia" w:ascii="宋体" w:hAnsi="宋体"/>
                <w:color w:val="auto"/>
                <w:sz w:val="18"/>
                <w:szCs w:val="18"/>
              </w:rPr>
              <w:t>比重≥</w:t>
            </w:r>
            <w:r>
              <w:rPr>
                <w:rFonts w:hint="eastAsia" w:ascii="宋体" w:hAnsi="宋体"/>
                <w:color w:val="auto"/>
                <w:sz w:val="18"/>
                <w:szCs w:val="18"/>
                <w:lang w:val="en-US" w:eastAsia="zh-CN"/>
              </w:rPr>
              <w:t>5</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r>
              <w:rPr>
                <w:rFonts w:hint="eastAsia" w:ascii="宋体" w:hAnsi="宋体"/>
                <w:color w:val="auto"/>
                <w:sz w:val="18"/>
                <w:szCs w:val="18"/>
                <w:lang w:eastAsia="zh-CN"/>
              </w:rPr>
              <w:t>。</w:t>
            </w:r>
          </w:p>
        </w:tc>
        <w:tc>
          <w:tcPr>
            <w:tcW w:w="630" w:type="dxa"/>
            <w:vMerge w:val="restart"/>
            <w:vAlign w:val="center"/>
          </w:tcPr>
          <w:p>
            <w:pPr>
              <w:widowControl/>
              <w:spacing w:line="240" w:lineRule="auto"/>
              <w:jc w:val="center"/>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continue"/>
          </w:tcPr>
          <w:p>
            <w:pPr>
              <w:widowControl/>
              <w:spacing w:line="240" w:lineRule="auto"/>
              <w:jc w:val="center"/>
              <w:textAlignment w:val="center"/>
              <w:rPr>
                <w:rFonts w:ascii="宋体" w:hAnsi="宋体"/>
                <w:color w:val="auto"/>
                <w:sz w:val="18"/>
                <w:szCs w:val="18"/>
              </w:rPr>
            </w:pPr>
          </w:p>
        </w:tc>
        <w:tc>
          <w:tcPr>
            <w:tcW w:w="6063" w:type="dxa"/>
            <w:vAlign w:val="center"/>
          </w:tcPr>
          <w:p>
            <w:pPr>
              <w:widowControl/>
              <w:spacing w:line="240" w:lineRule="auto"/>
              <w:jc w:val="left"/>
              <w:textAlignment w:val="center"/>
              <w:rPr>
                <w:rFonts w:hint="eastAsia" w:ascii="宋体" w:hAnsi="宋体"/>
                <w:color w:val="auto"/>
                <w:sz w:val="18"/>
                <w:szCs w:val="18"/>
                <w:lang w:val="en-US" w:eastAsia="zh-CN"/>
              </w:rPr>
            </w:pPr>
            <w:r>
              <w:rPr>
                <w:rFonts w:hint="eastAsia" w:ascii="宋体" w:hAnsi="宋体"/>
                <w:color w:val="auto"/>
                <w:sz w:val="18"/>
                <w:szCs w:val="18"/>
              </w:rPr>
              <w:t>企业</w:t>
            </w:r>
            <w:r>
              <w:rPr>
                <w:rFonts w:hint="eastAsia" w:ascii="宋体" w:hAnsi="宋体"/>
                <w:color w:val="auto"/>
                <w:sz w:val="18"/>
                <w:szCs w:val="18"/>
                <w:lang w:val="en-US" w:eastAsia="zh-CN"/>
              </w:rPr>
              <w:t>低于</w:t>
            </w:r>
            <w:r>
              <w:rPr>
                <w:rFonts w:hint="eastAsia" w:ascii="宋体" w:hAnsi="宋体"/>
                <w:color w:val="auto"/>
                <w:sz w:val="18"/>
                <w:szCs w:val="18"/>
              </w:rPr>
              <w:t>国家第五阶段机动车污染物排放标准的</w:t>
            </w:r>
            <w:r>
              <w:rPr>
                <w:rFonts w:hint="eastAsia" w:ascii="宋体" w:hAnsi="宋体"/>
                <w:color w:val="auto"/>
                <w:sz w:val="18"/>
                <w:szCs w:val="18"/>
                <w:lang w:val="en-US" w:eastAsia="zh-CN"/>
              </w:rPr>
              <w:t>自有及外协</w:t>
            </w:r>
            <w:r>
              <w:rPr>
                <w:rFonts w:hint="eastAsia" w:ascii="宋体" w:hAnsi="宋体"/>
                <w:color w:val="auto"/>
                <w:sz w:val="18"/>
                <w:szCs w:val="18"/>
              </w:rPr>
              <w:t>货运车辆</w:t>
            </w:r>
            <w:r>
              <w:rPr>
                <w:rFonts w:hint="eastAsia" w:ascii="宋体" w:hAnsi="宋体"/>
                <w:color w:val="auto"/>
                <w:sz w:val="18"/>
                <w:szCs w:val="18"/>
                <w:lang w:val="en-US" w:eastAsia="zh-CN"/>
              </w:rPr>
              <w:t>数量：</w:t>
            </w:r>
          </w:p>
          <w:p>
            <w:pPr>
              <w:widowControl/>
              <w:spacing w:line="240" w:lineRule="auto"/>
              <w:jc w:val="left"/>
              <w:textAlignment w:val="center"/>
              <w:rPr>
                <w:rFonts w:hint="eastAsia" w:ascii="宋体" w:hAnsi="宋体"/>
                <w:color w:val="auto"/>
                <w:sz w:val="18"/>
                <w:szCs w:val="18"/>
                <w:lang w:eastAsia="zh-CN"/>
              </w:rPr>
            </w:pPr>
            <w:r>
              <w:rPr>
                <w:rFonts w:hint="eastAsia" w:ascii="宋体" w:hAnsi="宋体"/>
                <w:color w:val="auto"/>
                <w:sz w:val="18"/>
                <w:szCs w:val="18"/>
                <w:lang w:val="en-US" w:eastAsia="zh-CN"/>
              </w:rPr>
              <w:t>占总货车数量的</w:t>
            </w:r>
            <w:r>
              <w:rPr>
                <w:rFonts w:hint="eastAsia" w:ascii="宋体" w:hAnsi="宋体"/>
                <w:color w:val="auto"/>
                <w:sz w:val="18"/>
                <w:szCs w:val="18"/>
              </w:rPr>
              <w:t>比重≤</w:t>
            </w:r>
            <w:r>
              <w:rPr>
                <w:rFonts w:hint="eastAsia" w:ascii="宋体" w:hAnsi="宋体"/>
                <w:color w:val="auto"/>
                <w:sz w:val="18"/>
                <w:szCs w:val="18"/>
                <w:lang w:val="en-US" w:eastAsia="zh-CN"/>
              </w:rPr>
              <w:t>50</w:t>
            </w:r>
            <w:r>
              <w:rPr>
                <w:rFonts w:hint="eastAsia" w:ascii="宋体" w:hAnsi="宋体"/>
                <w:color w:val="auto"/>
                <w:sz w:val="18"/>
                <w:szCs w:val="18"/>
              </w:rPr>
              <w:t>%，得</w:t>
            </w:r>
            <w:r>
              <w:rPr>
                <w:rFonts w:hint="eastAsia" w:ascii="宋体" w:hAnsi="宋体"/>
                <w:color w:val="auto"/>
                <w:sz w:val="18"/>
                <w:szCs w:val="18"/>
                <w:lang w:val="en-US" w:eastAsia="zh-CN"/>
              </w:rPr>
              <w:t>1</w:t>
            </w:r>
            <w:r>
              <w:rPr>
                <w:rFonts w:hint="eastAsia" w:ascii="宋体" w:hAnsi="宋体"/>
                <w:color w:val="auto"/>
                <w:sz w:val="18"/>
                <w:szCs w:val="18"/>
              </w:rPr>
              <w:t>分</w:t>
            </w:r>
            <w:r>
              <w:rPr>
                <w:rFonts w:hint="eastAsia" w:ascii="宋体" w:hAnsi="宋体"/>
                <w:color w:val="auto"/>
                <w:sz w:val="18"/>
                <w:szCs w:val="18"/>
                <w:lang w:eastAsia="zh-CN"/>
              </w:rPr>
              <w:t>；</w:t>
            </w:r>
          </w:p>
          <w:p>
            <w:pPr>
              <w:widowControl/>
              <w:spacing w:line="240" w:lineRule="auto"/>
              <w:jc w:val="left"/>
              <w:textAlignment w:val="center"/>
              <w:rPr>
                <w:rFonts w:hint="eastAsia" w:eastAsia="宋体"/>
                <w:color w:val="auto"/>
                <w:lang w:eastAsia="zh-CN"/>
              </w:rPr>
            </w:pPr>
            <w:r>
              <w:rPr>
                <w:rFonts w:hint="eastAsia" w:ascii="宋体" w:hAnsi="宋体"/>
                <w:color w:val="auto"/>
                <w:sz w:val="18"/>
                <w:szCs w:val="18"/>
                <w:lang w:val="en-US" w:eastAsia="zh-CN"/>
              </w:rPr>
              <w:t>占总货车数量的</w:t>
            </w:r>
            <w:r>
              <w:rPr>
                <w:rFonts w:hint="eastAsia" w:ascii="宋体" w:hAnsi="宋体"/>
                <w:color w:val="auto"/>
                <w:sz w:val="18"/>
                <w:szCs w:val="18"/>
              </w:rPr>
              <w:t>比重≤</w:t>
            </w:r>
            <w:r>
              <w:rPr>
                <w:rFonts w:hint="eastAsia" w:ascii="宋体" w:hAnsi="宋体"/>
                <w:color w:val="auto"/>
                <w:sz w:val="18"/>
                <w:szCs w:val="18"/>
                <w:lang w:val="en-US" w:eastAsia="zh-CN"/>
              </w:rPr>
              <w:t>30</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r>
              <w:rPr>
                <w:rFonts w:hint="eastAsia" w:ascii="宋体" w:hAnsi="宋体"/>
                <w:color w:val="auto"/>
                <w:sz w:val="18"/>
                <w:szCs w:val="18"/>
                <w:lang w:eastAsia="zh-CN"/>
              </w:rPr>
              <w:t>。</w:t>
            </w:r>
          </w:p>
        </w:tc>
        <w:tc>
          <w:tcPr>
            <w:tcW w:w="630" w:type="dxa"/>
            <w:vMerge w:val="continue"/>
            <w:vAlign w:val="center"/>
          </w:tcPr>
          <w:p>
            <w:pPr>
              <w:widowControl/>
              <w:spacing w:line="240" w:lineRule="auto"/>
              <w:jc w:val="center"/>
              <w:textAlignment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restart"/>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车辆技术状况</w:t>
            </w:r>
          </w:p>
        </w:tc>
        <w:tc>
          <w:tcPr>
            <w:tcW w:w="6063"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企业定期开展车辆检修维护，货运车辆（挂车除外）的车辆技术等级均达到二级车况，危货车均达到一级车况，得</w:t>
            </w:r>
            <w:r>
              <w:rPr>
                <w:rFonts w:hint="eastAsia" w:ascii="宋体" w:hAnsi="宋体"/>
                <w:color w:val="auto"/>
                <w:sz w:val="18"/>
                <w:szCs w:val="18"/>
                <w:lang w:val="en-US" w:eastAsia="zh-CN"/>
              </w:rPr>
              <w:t>3</w:t>
            </w:r>
            <w:r>
              <w:rPr>
                <w:rFonts w:hint="eastAsia" w:ascii="宋体" w:hAnsi="宋体"/>
                <w:color w:val="auto"/>
                <w:sz w:val="18"/>
                <w:szCs w:val="18"/>
              </w:rPr>
              <w:t>分。</w:t>
            </w:r>
          </w:p>
        </w:tc>
        <w:tc>
          <w:tcPr>
            <w:tcW w:w="630" w:type="dxa"/>
            <w:vMerge w:val="restart"/>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continue"/>
          </w:tcPr>
          <w:p>
            <w:pPr>
              <w:widowControl/>
              <w:spacing w:line="240" w:lineRule="auto"/>
              <w:jc w:val="center"/>
              <w:textAlignment w:val="center"/>
              <w:rPr>
                <w:rFonts w:ascii="宋体" w:hAnsi="宋体"/>
                <w:color w:val="auto"/>
                <w:sz w:val="18"/>
                <w:szCs w:val="18"/>
              </w:rPr>
            </w:pPr>
          </w:p>
        </w:tc>
        <w:tc>
          <w:tcPr>
            <w:tcW w:w="6063"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w:t>
            </w:r>
            <w:r>
              <w:rPr>
                <w:rFonts w:hint="eastAsia" w:ascii="宋体" w:hAnsi="宋体"/>
                <w:color w:val="auto"/>
                <w:sz w:val="18"/>
                <w:szCs w:val="18"/>
                <w:lang w:val="en-US" w:eastAsia="zh-CN"/>
              </w:rPr>
              <w:t>营运</w:t>
            </w:r>
            <w:r>
              <w:rPr>
                <w:rFonts w:hint="eastAsia" w:ascii="宋体" w:hAnsi="宋体"/>
                <w:color w:val="auto"/>
                <w:sz w:val="18"/>
                <w:szCs w:val="18"/>
              </w:rPr>
              <w:t>货运车辆达到国家机动车安全技术检验项目要求，得</w:t>
            </w:r>
            <w:r>
              <w:rPr>
                <w:rFonts w:hint="eastAsia" w:ascii="宋体" w:hAnsi="宋体"/>
                <w:color w:val="auto"/>
                <w:sz w:val="18"/>
                <w:szCs w:val="18"/>
                <w:lang w:val="en-US" w:eastAsia="zh-CN"/>
              </w:rPr>
              <w:t>3</w:t>
            </w:r>
            <w:r>
              <w:rPr>
                <w:rFonts w:hint="eastAsia" w:ascii="宋体" w:hAnsi="宋体"/>
                <w:color w:val="auto"/>
                <w:sz w:val="18"/>
                <w:szCs w:val="18"/>
              </w:rPr>
              <w:t>分。</w:t>
            </w:r>
          </w:p>
        </w:tc>
        <w:tc>
          <w:tcPr>
            <w:tcW w:w="630" w:type="dxa"/>
            <w:vMerge w:val="continue"/>
            <w:vAlign w:val="center"/>
          </w:tcPr>
          <w:p>
            <w:pPr>
              <w:widowControl/>
              <w:spacing w:line="240" w:lineRule="auto"/>
              <w:jc w:val="center"/>
              <w:textAlignment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排气后处理</w:t>
            </w:r>
          </w:p>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技术</w:t>
            </w:r>
          </w:p>
        </w:tc>
        <w:tc>
          <w:tcPr>
            <w:tcW w:w="6063" w:type="dxa"/>
            <w:vAlign w:val="center"/>
          </w:tcPr>
          <w:p>
            <w:pPr>
              <w:widowControl/>
              <w:spacing w:line="240" w:lineRule="auto"/>
              <w:jc w:val="left"/>
              <w:textAlignment w:val="center"/>
              <w:rPr>
                <w:rFonts w:hint="default" w:eastAsia="宋体"/>
                <w:color w:val="auto"/>
                <w:highlight w:val="none"/>
                <w:lang w:val="en-US" w:eastAsia="zh-CN"/>
              </w:rPr>
            </w:pPr>
            <w:r>
              <w:rPr>
                <w:rFonts w:hint="eastAsia" w:ascii="宋体" w:hAnsi="宋体"/>
                <w:color w:val="auto"/>
                <w:sz w:val="18"/>
                <w:szCs w:val="18"/>
                <w:highlight w:val="none"/>
              </w:rPr>
              <w:t>企业</w:t>
            </w:r>
            <w:r>
              <w:rPr>
                <w:rFonts w:hint="eastAsia" w:ascii="宋体" w:hAnsi="宋体"/>
                <w:color w:val="auto"/>
                <w:sz w:val="18"/>
                <w:szCs w:val="18"/>
                <w:highlight w:val="none"/>
                <w:lang w:val="en-US" w:eastAsia="zh-CN"/>
              </w:rPr>
              <w:t>在营运</w:t>
            </w:r>
            <w:r>
              <w:rPr>
                <w:rFonts w:hint="eastAsia" w:ascii="宋体" w:hAnsi="宋体"/>
                <w:color w:val="auto"/>
                <w:sz w:val="18"/>
                <w:szCs w:val="18"/>
                <w:highlight w:val="none"/>
              </w:rPr>
              <w:t>货车中应用</w:t>
            </w:r>
            <w:r>
              <w:rPr>
                <w:rFonts w:hint="eastAsia" w:ascii="宋体" w:hAnsi="宋体"/>
                <w:color w:val="auto"/>
                <w:sz w:val="18"/>
                <w:szCs w:val="18"/>
                <w:highlight w:val="none"/>
                <w:lang w:val="en-US" w:eastAsia="zh-CN"/>
              </w:rPr>
              <w:t>了</w:t>
            </w:r>
            <w:r>
              <w:rPr>
                <w:rFonts w:hint="eastAsia" w:ascii="宋体" w:hAnsi="宋体"/>
                <w:color w:val="auto"/>
                <w:sz w:val="18"/>
                <w:szCs w:val="18"/>
                <w:highlight w:val="none"/>
              </w:rPr>
              <w:t>SCR（选择性催化还原）、DOC（氧化型催化转化器）、DPF（柴油机微粒捕集器）、EGR（排气再循环）、ASC（氨逃逸捕集器）</w:t>
            </w:r>
            <w:r>
              <w:rPr>
                <w:rFonts w:hint="eastAsia" w:ascii="宋体" w:hAnsi="宋体"/>
                <w:color w:val="auto"/>
                <w:sz w:val="18"/>
                <w:szCs w:val="18"/>
                <w:highlight w:val="none"/>
                <w:lang w:val="en-US" w:eastAsia="zh-CN"/>
              </w:rPr>
              <w:t>等绿色低碳的</w:t>
            </w:r>
            <w:r>
              <w:rPr>
                <w:rFonts w:hint="eastAsia" w:ascii="宋体" w:hAnsi="宋体"/>
                <w:color w:val="auto"/>
                <w:sz w:val="18"/>
                <w:szCs w:val="18"/>
                <w:highlight w:val="none"/>
              </w:rPr>
              <w:t>车辆排气后处理技术</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得5分</w:t>
            </w:r>
          </w:p>
        </w:tc>
        <w:tc>
          <w:tcPr>
            <w:tcW w:w="630" w:type="dxa"/>
            <w:vAlign w:val="center"/>
          </w:tcPr>
          <w:p>
            <w:pPr>
              <w:widowControl/>
              <w:spacing w:line="240" w:lineRule="auto"/>
              <w:jc w:val="center"/>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装载优化</w:t>
            </w:r>
          </w:p>
        </w:tc>
        <w:tc>
          <w:tcPr>
            <w:tcW w:w="6063" w:type="dxa"/>
            <w:vAlign w:val="center"/>
          </w:tcPr>
          <w:p>
            <w:pPr>
              <w:widowControl/>
              <w:spacing w:line="240" w:lineRule="auto"/>
              <w:jc w:val="left"/>
              <w:textAlignment w:val="center"/>
              <w:rPr>
                <w:rFonts w:ascii="宋体" w:hAnsi="宋体"/>
                <w:color w:val="auto"/>
                <w:sz w:val="18"/>
                <w:szCs w:val="18"/>
                <w:highlight w:val="none"/>
              </w:rPr>
            </w:pPr>
            <w:r>
              <w:rPr>
                <w:rFonts w:hint="eastAsia" w:ascii="宋体" w:hAnsi="宋体"/>
                <w:color w:val="auto"/>
                <w:sz w:val="18"/>
                <w:szCs w:val="18"/>
                <w:highlight w:val="none"/>
                <w:lang w:val="en-US" w:eastAsia="zh-CN"/>
              </w:rPr>
              <w:t>企业持续优化货物装箱、装车方式</w:t>
            </w:r>
            <w:r>
              <w:rPr>
                <w:rFonts w:hint="eastAsia" w:ascii="宋体" w:hAnsi="宋体"/>
                <w:color w:val="auto"/>
                <w:sz w:val="18"/>
                <w:szCs w:val="18"/>
                <w:highlight w:val="none"/>
              </w:rPr>
              <w:t>，提高单位车辆</w:t>
            </w:r>
            <w:r>
              <w:rPr>
                <w:rFonts w:hint="eastAsia" w:ascii="宋体" w:hAnsi="宋体"/>
                <w:color w:val="auto"/>
                <w:sz w:val="18"/>
                <w:szCs w:val="18"/>
                <w:highlight w:val="none"/>
                <w:lang w:val="en-US" w:eastAsia="zh-CN"/>
              </w:rPr>
              <w:t>装载效率</w:t>
            </w:r>
            <w:r>
              <w:rPr>
                <w:rFonts w:hint="eastAsia" w:ascii="宋体" w:hAnsi="宋体"/>
                <w:color w:val="auto"/>
                <w:sz w:val="18"/>
                <w:szCs w:val="18"/>
                <w:highlight w:val="none"/>
              </w:rPr>
              <w:t>，得</w:t>
            </w: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分。</w:t>
            </w:r>
          </w:p>
        </w:tc>
        <w:tc>
          <w:tcPr>
            <w:tcW w:w="630" w:type="dxa"/>
            <w:vAlign w:val="center"/>
          </w:tcPr>
          <w:p>
            <w:pPr>
              <w:widowControl/>
              <w:spacing w:line="240" w:lineRule="auto"/>
              <w:jc w:val="center"/>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restart"/>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绿色包装</w:t>
            </w:r>
          </w:p>
        </w:tc>
        <w:tc>
          <w:tcPr>
            <w:tcW w:w="6063" w:type="dxa"/>
            <w:vAlign w:val="center"/>
          </w:tcPr>
          <w:p>
            <w:pPr>
              <w:widowControl/>
              <w:spacing w:line="240" w:lineRule="auto"/>
              <w:jc w:val="left"/>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企业采用可降解的环保包装材料，减少环境污染，得3分，</w:t>
            </w:r>
          </w:p>
        </w:tc>
        <w:tc>
          <w:tcPr>
            <w:tcW w:w="630" w:type="dxa"/>
            <w:vMerge w:val="restart"/>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tcPr>
          <w:p>
            <w:pPr>
              <w:widowControl/>
              <w:spacing w:line="240" w:lineRule="auto"/>
              <w:jc w:val="left"/>
              <w:textAlignment w:val="center"/>
              <w:rPr>
                <w:color w:val="auto"/>
              </w:rPr>
            </w:pPr>
          </w:p>
        </w:tc>
        <w:tc>
          <w:tcPr>
            <w:tcW w:w="993" w:type="dxa"/>
            <w:vMerge w:val="continue"/>
            <w:tcBorders/>
          </w:tcPr>
          <w:p>
            <w:pPr>
              <w:widowControl/>
              <w:spacing w:line="240" w:lineRule="auto"/>
              <w:jc w:val="left"/>
              <w:textAlignment w:val="center"/>
              <w:rPr>
                <w:color w:val="auto"/>
              </w:rPr>
            </w:pPr>
          </w:p>
        </w:tc>
        <w:tc>
          <w:tcPr>
            <w:tcW w:w="1479" w:type="dxa"/>
            <w:vMerge w:val="continue"/>
            <w:vAlign w:val="center"/>
          </w:tcPr>
          <w:p>
            <w:pPr>
              <w:widowControl/>
              <w:spacing w:line="240" w:lineRule="auto"/>
              <w:jc w:val="left"/>
              <w:textAlignment w:val="center"/>
              <w:rPr>
                <w:color w:val="auto"/>
              </w:rPr>
            </w:pPr>
          </w:p>
        </w:tc>
        <w:tc>
          <w:tcPr>
            <w:tcW w:w="6063" w:type="dxa"/>
            <w:vAlign w:val="center"/>
          </w:tcPr>
          <w:p>
            <w:pPr>
              <w:widowControl/>
              <w:spacing w:line="240" w:lineRule="auto"/>
              <w:jc w:val="left"/>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企业采用轻量化、可再利用的包装材料，降低包材消耗，得3分。</w:t>
            </w:r>
          </w:p>
        </w:tc>
        <w:tc>
          <w:tcPr>
            <w:tcW w:w="630" w:type="dxa"/>
            <w:vMerge w:val="continue"/>
            <w:vAlign w:val="center"/>
          </w:tcPr>
          <w:p>
            <w:pPr>
              <w:widowControl/>
              <w:spacing w:line="240" w:lineRule="auto"/>
              <w:jc w:val="left"/>
              <w:textAlignment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循环利用</w:t>
            </w:r>
          </w:p>
        </w:tc>
        <w:tc>
          <w:tcPr>
            <w:tcW w:w="6063" w:type="dxa"/>
            <w:vAlign w:val="center"/>
          </w:tcPr>
          <w:p>
            <w:pPr>
              <w:widowControl/>
              <w:spacing w:line="240" w:lineRule="auto"/>
              <w:jc w:val="left"/>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企业使用</w:t>
            </w:r>
            <w:r>
              <w:rPr>
                <w:rFonts w:hint="eastAsia" w:ascii="宋体" w:hAnsi="宋体"/>
                <w:color w:val="auto"/>
                <w:sz w:val="18"/>
                <w:szCs w:val="18"/>
                <w:highlight w:val="none"/>
              </w:rPr>
              <w:t>可循环</w:t>
            </w:r>
            <w:r>
              <w:rPr>
                <w:rFonts w:hint="eastAsia" w:ascii="宋体" w:hAnsi="宋体"/>
                <w:color w:val="auto"/>
                <w:sz w:val="18"/>
                <w:szCs w:val="18"/>
                <w:highlight w:val="none"/>
                <w:lang w:val="en-US" w:eastAsia="zh-CN"/>
              </w:rPr>
              <w:t>利用的物流</w:t>
            </w:r>
            <w:r>
              <w:rPr>
                <w:rFonts w:hint="eastAsia" w:ascii="宋体" w:hAnsi="宋体"/>
                <w:color w:val="auto"/>
                <w:sz w:val="18"/>
                <w:szCs w:val="18"/>
                <w:highlight w:val="none"/>
              </w:rPr>
              <w:t>集装器具</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得5分。</w:t>
            </w:r>
          </w:p>
        </w:tc>
        <w:tc>
          <w:tcPr>
            <w:tcW w:w="630" w:type="dxa"/>
            <w:vAlign w:val="center"/>
          </w:tcPr>
          <w:p>
            <w:pPr>
              <w:widowControl/>
              <w:spacing w:line="240" w:lineRule="auto"/>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标准化容器</w:t>
            </w:r>
          </w:p>
        </w:tc>
        <w:tc>
          <w:tcPr>
            <w:tcW w:w="6063" w:type="dxa"/>
            <w:vAlign w:val="center"/>
          </w:tcPr>
          <w:p>
            <w:pPr>
              <w:widowControl/>
              <w:spacing w:line="240" w:lineRule="auto"/>
              <w:jc w:val="left"/>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企业使用标准托盘、标准周转箱等标准化物流容器</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得5分。</w:t>
            </w:r>
          </w:p>
        </w:tc>
        <w:tc>
          <w:tcPr>
            <w:tcW w:w="630" w:type="dxa"/>
            <w:vAlign w:val="center"/>
          </w:tcPr>
          <w:p>
            <w:pPr>
              <w:widowControl/>
              <w:spacing w:line="240" w:lineRule="auto"/>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restart"/>
            <w:vAlign w:val="center"/>
          </w:tcPr>
          <w:p>
            <w:pPr>
              <w:widowControl/>
              <w:spacing w:line="240" w:lineRule="auto"/>
              <w:jc w:val="center"/>
              <w:textAlignment w:val="center"/>
              <w:rPr>
                <w:rFonts w:hint="eastAsia" w:ascii="宋体" w:hAnsi="宋体" w:eastAsia="宋体"/>
                <w:color w:val="auto"/>
                <w:sz w:val="18"/>
                <w:szCs w:val="18"/>
                <w:lang w:val="en-US" w:eastAsia="zh-CN"/>
              </w:rPr>
            </w:pPr>
            <w:r>
              <w:rPr>
                <w:rFonts w:hint="eastAsia" w:ascii="宋体" w:hAnsi="宋体"/>
                <w:color w:val="auto"/>
                <w:sz w:val="18"/>
                <w:szCs w:val="18"/>
              </w:rPr>
              <w:t>回收</w:t>
            </w:r>
            <w:r>
              <w:rPr>
                <w:rFonts w:hint="eastAsia" w:ascii="宋体" w:hAnsi="宋体"/>
                <w:color w:val="auto"/>
                <w:sz w:val="18"/>
                <w:szCs w:val="18"/>
                <w:lang w:val="en-US" w:eastAsia="zh-CN"/>
              </w:rPr>
              <w:t>处置</w:t>
            </w:r>
          </w:p>
        </w:tc>
        <w:tc>
          <w:tcPr>
            <w:tcW w:w="6063"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企业建立废弃物回收处理体系（自建或与</w:t>
            </w:r>
            <w:r>
              <w:rPr>
                <w:rFonts w:hint="eastAsia" w:ascii="宋体" w:hAnsi="宋体"/>
                <w:color w:val="auto"/>
                <w:sz w:val="18"/>
                <w:szCs w:val="18"/>
                <w:lang w:val="en-US" w:eastAsia="zh-CN"/>
              </w:rPr>
              <w:t>专业公司合作</w:t>
            </w:r>
            <w:r>
              <w:rPr>
                <w:rFonts w:hint="eastAsia" w:ascii="宋体" w:hAnsi="宋体"/>
                <w:color w:val="auto"/>
                <w:sz w:val="18"/>
                <w:szCs w:val="18"/>
              </w:rPr>
              <w:t>），得</w:t>
            </w:r>
            <w:r>
              <w:rPr>
                <w:rFonts w:hint="eastAsia" w:ascii="宋体" w:hAnsi="宋体"/>
                <w:color w:val="auto"/>
                <w:sz w:val="18"/>
                <w:szCs w:val="18"/>
                <w:lang w:val="en-US" w:eastAsia="zh-CN"/>
              </w:rPr>
              <w:t>3</w:t>
            </w:r>
            <w:r>
              <w:rPr>
                <w:rFonts w:hint="eastAsia" w:ascii="宋体" w:hAnsi="宋体"/>
                <w:color w:val="auto"/>
                <w:sz w:val="18"/>
                <w:szCs w:val="18"/>
              </w:rPr>
              <w:t>分。</w:t>
            </w:r>
          </w:p>
        </w:tc>
        <w:tc>
          <w:tcPr>
            <w:tcW w:w="630" w:type="dxa"/>
            <w:vMerge w:val="restart"/>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Merge w:val="continue"/>
            <w:vAlign w:val="center"/>
          </w:tcPr>
          <w:p>
            <w:pPr>
              <w:widowControl/>
              <w:spacing w:line="240" w:lineRule="auto"/>
              <w:jc w:val="center"/>
              <w:textAlignment w:val="center"/>
              <w:rPr>
                <w:rFonts w:hint="eastAsia" w:ascii="宋体" w:hAnsi="宋体"/>
                <w:color w:val="auto"/>
                <w:sz w:val="18"/>
                <w:szCs w:val="18"/>
              </w:rPr>
            </w:pPr>
          </w:p>
        </w:tc>
        <w:tc>
          <w:tcPr>
            <w:tcW w:w="6063" w:type="dxa"/>
            <w:vAlign w:val="center"/>
          </w:tcPr>
          <w:p>
            <w:pPr>
              <w:widowControl/>
              <w:spacing w:line="240" w:lineRule="auto"/>
              <w:jc w:val="left"/>
              <w:textAlignment w:val="center"/>
              <w:rPr>
                <w:rFonts w:hint="eastAsia" w:ascii="宋体" w:hAnsi="宋体"/>
                <w:color w:val="auto"/>
                <w:sz w:val="18"/>
                <w:szCs w:val="18"/>
              </w:rPr>
            </w:pPr>
            <w:r>
              <w:rPr>
                <w:rFonts w:hint="eastAsia" w:ascii="宋体" w:hAnsi="宋体"/>
                <w:color w:val="auto"/>
                <w:sz w:val="18"/>
                <w:szCs w:val="18"/>
              </w:rPr>
              <w:t>在安全可控和合规前提下，企业对废弃物开展多层次、多用途的合理利用</w:t>
            </w:r>
            <w:r>
              <w:rPr>
                <w:rFonts w:hint="eastAsia" w:ascii="宋体" w:hAnsi="宋体"/>
                <w:color w:val="auto"/>
                <w:sz w:val="18"/>
                <w:szCs w:val="18"/>
                <w:lang w:eastAsia="zh-CN"/>
              </w:rPr>
              <w:t>（</w:t>
            </w:r>
            <w:r>
              <w:rPr>
                <w:rFonts w:hint="eastAsia" w:ascii="宋体" w:hAnsi="宋体"/>
                <w:color w:val="auto"/>
                <w:sz w:val="18"/>
                <w:szCs w:val="18"/>
                <w:lang w:val="en-US" w:eastAsia="zh-CN"/>
              </w:rPr>
              <w:t>包括委托专业公司</w:t>
            </w:r>
            <w:r>
              <w:rPr>
                <w:rFonts w:hint="eastAsia" w:ascii="宋体" w:hAnsi="宋体"/>
                <w:color w:val="auto"/>
                <w:sz w:val="18"/>
                <w:szCs w:val="18"/>
                <w:lang w:eastAsia="zh-CN"/>
              </w:rPr>
              <w:t>）</w:t>
            </w:r>
            <w:r>
              <w:rPr>
                <w:rFonts w:hint="eastAsia" w:ascii="宋体" w:hAnsi="宋体"/>
                <w:color w:val="auto"/>
                <w:sz w:val="18"/>
                <w:szCs w:val="18"/>
              </w:rPr>
              <w:t>，并保障不可利用残余物的环保处置，得</w:t>
            </w:r>
            <w:r>
              <w:rPr>
                <w:rFonts w:hint="eastAsia" w:ascii="宋体" w:hAnsi="宋体"/>
                <w:color w:val="auto"/>
                <w:sz w:val="18"/>
                <w:szCs w:val="18"/>
                <w:lang w:val="en-US" w:eastAsia="zh-CN"/>
              </w:rPr>
              <w:t>3</w:t>
            </w:r>
            <w:r>
              <w:rPr>
                <w:rFonts w:hint="eastAsia" w:ascii="宋体" w:hAnsi="宋体"/>
                <w:color w:val="auto"/>
                <w:sz w:val="18"/>
                <w:szCs w:val="18"/>
              </w:rPr>
              <w:t>分。</w:t>
            </w:r>
          </w:p>
        </w:tc>
        <w:tc>
          <w:tcPr>
            <w:tcW w:w="630" w:type="dxa"/>
            <w:vMerge w:val="continue"/>
            <w:vAlign w:val="center"/>
          </w:tcPr>
          <w:p>
            <w:pPr>
              <w:widowControl/>
              <w:spacing w:line="240" w:lineRule="auto"/>
              <w:jc w:val="center"/>
              <w:textAlignment w:val="center"/>
              <w:rPr>
                <w:rFonts w:hint="eastAsia"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运输组织模式</w:t>
            </w:r>
          </w:p>
        </w:tc>
        <w:tc>
          <w:tcPr>
            <w:tcW w:w="6063" w:type="dxa"/>
            <w:vAlign w:val="center"/>
          </w:tcPr>
          <w:p>
            <w:pPr>
              <w:widowControl/>
              <w:spacing w:line="240" w:lineRule="auto"/>
              <w:jc w:val="left"/>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企业采用</w:t>
            </w:r>
            <w:r>
              <w:rPr>
                <w:rFonts w:hint="eastAsia" w:ascii="宋体" w:hAnsi="宋体"/>
                <w:color w:val="auto"/>
                <w:sz w:val="18"/>
                <w:szCs w:val="18"/>
              </w:rPr>
              <w:t>多式联运</w:t>
            </w:r>
            <w:r>
              <w:rPr>
                <w:rFonts w:hint="eastAsia" w:ascii="宋体" w:hAnsi="宋体"/>
                <w:color w:val="auto"/>
                <w:sz w:val="18"/>
                <w:szCs w:val="18"/>
                <w:lang w:eastAsia="zh-CN"/>
              </w:rPr>
              <w:t>、</w:t>
            </w:r>
            <w:r>
              <w:rPr>
                <w:rFonts w:hint="eastAsia" w:ascii="宋体" w:hAnsi="宋体"/>
                <w:color w:val="auto"/>
                <w:sz w:val="18"/>
                <w:szCs w:val="18"/>
              </w:rPr>
              <w:t>共同配送、集中配送</w:t>
            </w:r>
            <w:r>
              <w:rPr>
                <w:rFonts w:hint="eastAsia" w:ascii="宋体" w:hAnsi="宋体"/>
                <w:color w:val="auto"/>
                <w:sz w:val="18"/>
                <w:szCs w:val="18"/>
                <w:lang w:eastAsia="zh-CN"/>
              </w:rPr>
              <w:t>、</w:t>
            </w:r>
            <w:r>
              <w:rPr>
                <w:rFonts w:hint="eastAsia" w:ascii="宋体" w:hAnsi="宋体"/>
                <w:color w:val="auto"/>
                <w:sz w:val="18"/>
                <w:szCs w:val="18"/>
                <w:lang w:val="en-US" w:eastAsia="zh-CN"/>
              </w:rPr>
              <w:t>统仓统配等高效运输组织</w:t>
            </w:r>
            <w:r>
              <w:rPr>
                <w:rFonts w:hint="eastAsia" w:ascii="宋体" w:hAnsi="宋体"/>
                <w:color w:val="auto"/>
                <w:sz w:val="18"/>
                <w:szCs w:val="18"/>
              </w:rPr>
              <w:t>模式开展</w:t>
            </w:r>
            <w:r>
              <w:rPr>
                <w:rFonts w:hint="eastAsia" w:ascii="宋体" w:hAnsi="宋体"/>
                <w:color w:val="auto"/>
                <w:sz w:val="18"/>
                <w:szCs w:val="18"/>
                <w:lang w:val="en-US" w:eastAsia="zh-CN"/>
              </w:rPr>
              <w:t>货物</w:t>
            </w:r>
            <w:r>
              <w:rPr>
                <w:rFonts w:hint="eastAsia" w:ascii="宋体" w:hAnsi="宋体"/>
                <w:color w:val="auto"/>
                <w:sz w:val="18"/>
                <w:szCs w:val="18"/>
              </w:rPr>
              <w:t>运输，得</w:t>
            </w:r>
            <w:r>
              <w:rPr>
                <w:rFonts w:hint="eastAsia" w:ascii="宋体" w:hAnsi="宋体"/>
                <w:color w:val="auto"/>
                <w:sz w:val="18"/>
                <w:szCs w:val="18"/>
                <w:lang w:val="en-US" w:eastAsia="zh-CN"/>
              </w:rPr>
              <w:t>5</w:t>
            </w:r>
            <w:r>
              <w:rPr>
                <w:rFonts w:hint="eastAsia" w:ascii="宋体" w:hAnsi="宋体"/>
                <w:color w:val="auto"/>
                <w:sz w:val="18"/>
                <w:szCs w:val="18"/>
              </w:rPr>
              <w:t>分。</w:t>
            </w:r>
          </w:p>
        </w:tc>
        <w:tc>
          <w:tcPr>
            <w:tcW w:w="630" w:type="dxa"/>
            <w:vAlign w:val="center"/>
          </w:tcPr>
          <w:p>
            <w:pPr>
              <w:widowControl/>
              <w:spacing w:line="240" w:lineRule="auto"/>
              <w:jc w:val="center"/>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tcPr>
          <w:p>
            <w:pPr>
              <w:pStyle w:val="57"/>
              <w:ind w:firstLine="0" w:firstLineChars="0"/>
              <w:rPr>
                <w:color w:val="auto"/>
              </w:rPr>
            </w:pPr>
          </w:p>
        </w:tc>
        <w:tc>
          <w:tcPr>
            <w:tcW w:w="993" w:type="dxa"/>
            <w:vMerge w:val="continue"/>
            <w:tcBorders/>
          </w:tcPr>
          <w:p>
            <w:pPr>
              <w:pStyle w:val="57"/>
              <w:ind w:firstLine="0" w:firstLineChars="0"/>
              <w:rPr>
                <w:color w:val="auto"/>
              </w:rPr>
            </w:pPr>
          </w:p>
        </w:tc>
        <w:tc>
          <w:tcPr>
            <w:tcW w:w="1479" w:type="dxa"/>
            <w:vAlign w:val="center"/>
          </w:tcPr>
          <w:p>
            <w:pPr>
              <w:widowControl/>
              <w:spacing w:line="240" w:lineRule="auto"/>
              <w:jc w:val="center"/>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空载率</w:t>
            </w:r>
          </w:p>
        </w:tc>
        <w:tc>
          <w:tcPr>
            <w:tcW w:w="6063" w:type="dxa"/>
            <w:vAlign w:val="center"/>
          </w:tcPr>
          <w:p>
            <w:pPr>
              <w:widowControl/>
              <w:spacing w:line="240" w:lineRule="auto"/>
              <w:jc w:val="left"/>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空载</w:t>
            </w:r>
            <w:r>
              <w:rPr>
                <w:rFonts w:hint="eastAsia" w:ascii="宋体" w:hAnsi="宋体"/>
                <w:color w:val="auto"/>
                <w:sz w:val="18"/>
                <w:szCs w:val="18"/>
              </w:rPr>
              <w:t>率</w:t>
            </w:r>
            <w:r>
              <w:rPr>
                <w:rFonts w:hint="eastAsia" w:ascii="宋体" w:hAnsi="宋体"/>
                <w:color w:val="auto"/>
                <w:sz w:val="18"/>
                <w:szCs w:val="18"/>
                <w:lang w:val="en-US" w:eastAsia="zh-CN"/>
              </w:rPr>
              <w:t>≤4</w:t>
            </w:r>
            <w:r>
              <w:rPr>
                <w:rFonts w:hint="eastAsia" w:ascii="宋体" w:hAnsi="宋体"/>
                <w:color w:val="auto"/>
                <w:sz w:val="18"/>
                <w:szCs w:val="18"/>
              </w:rPr>
              <w:t>0%，得</w:t>
            </w:r>
            <w:r>
              <w:rPr>
                <w:rFonts w:hint="eastAsia" w:ascii="宋体" w:hAnsi="宋体"/>
                <w:color w:val="auto"/>
                <w:sz w:val="18"/>
                <w:szCs w:val="18"/>
                <w:lang w:val="en-US" w:eastAsia="zh-CN"/>
              </w:rPr>
              <w:t>1</w:t>
            </w:r>
            <w:r>
              <w:rPr>
                <w:rFonts w:hint="eastAsia" w:ascii="宋体" w:hAnsi="宋体"/>
                <w:color w:val="auto"/>
                <w:sz w:val="18"/>
                <w:szCs w:val="18"/>
              </w:rPr>
              <w:t>分；</w:t>
            </w:r>
          </w:p>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lang w:val="en-US" w:eastAsia="zh-CN"/>
              </w:rPr>
              <w:t>空载</w:t>
            </w:r>
            <w:r>
              <w:rPr>
                <w:rFonts w:hint="eastAsia" w:ascii="宋体" w:hAnsi="宋体"/>
                <w:color w:val="auto"/>
                <w:sz w:val="18"/>
                <w:szCs w:val="18"/>
              </w:rPr>
              <w:t>率</w:t>
            </w:r>
            <w:r>
              <w:rPr>
                <w:rFonts w:hint="eastAsia" w:ascii="宋体" w:hAnsi="宋体"/>
                <w:color w:val="auto"/>
                <w:sz w:val="18"/>
                <w:szCs w:val="18"/>
                <w:lang w:val="en-US" w:eastAsia="zh-CN"/>
              </w:rPr>
              <w:t>≤3</w:t>
            </w:r>
            <w:r>
              <w:rPr>
                <w:rFonts w:hint="eastAsia" w:ascii="宋体" w:hAnsi="宋体"/>
                <w:color w:val="auto"/>
                <w:sz w:val="18"/>
                <w:szCs w:val="18"/>
              </w:rPr>
              <w:t>0%，得</w:t>
            </w:r>
            <w:r>
              <w:rPr>
                <w:rFonts w:hint="eastAsia" w:ascii="宋体" w:hAnsi="宋体"/>
                <w:color w:val="auto"/>
                <w:sz w:val="18"/>
                <w:szCs w:val="18"/>
                <w:lang w:val="en-US" w:eastAsia="zh-CN"/>
              </w:rPr>
              <w:t>3</w:t>
            </w:r>
            <w:r>
              <w:rPr>
                <w:rFonts w:hint="eastAsia" w:ascii="宋体" w:hAnsi="宋体"/>
                <w:color w:val="auto"/>
                <w:sz w:val="18"/>
                <w:szCs w:val="18"/>
              </w:rPr>
              <w:t>分；</w:t>
            </w:r>
          </w:p>
          <w:p>
            <w:pPr>
              <w:widowControl/>
              <w:spacing w:line="240" w:lineRule="auto"/>
              <w:jc w:val="left"/>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空载</w:t>
            </w:r>
            <w:r>
              <w:rPr>
                <w:rFonts w:hint="eastAsia" w:ascii="宋体" w:hAnsi="宋体"/>
                <w:color w:val="auto"/>
                <w:sz w:val="18"/>
                <w:szCs w:val="18"/>
              </w:rPr>
              <w:t>率</w:t>
            </w:r>
            <w:r>
              <w:rPr>
                <w:rFonts w:hint="eastAsia" w:ascii="宋体" w:hAnsi="宋体"/>
                <w:color w:val="auto"/>
                <w:sz w:val="18"/>
                <w:szCs w:val="18"/>
                <w:lang w:val="en-US" w:eastAsia="zh-CN"/>
              </w:rPr>
              <w:t>≤2</w:t>
            </w:r>
            <w:r>
              <w:rPr>
                <w:rFonts w:hint="eastAsia" w:ascii="宋体" w:hAnsi="宋体"/>
                <w:color w:val="auto"/>
                <w:sz w:val="18"/>
                <w:szCs w:val="18"/>
              </w:rPr>
              <w:t>0%，得</w:t>
            </w:r>
            <w:r>
              <w:rPr>
                <w:rFonts w:hint="eastAsia" w:ascii="宋体" w:hAnsi="宋体"/>
                <w:color w:val="auto"/>
                <w:sz w:val="18"/>
                <w:szCs w:val="18"/>
                <w:lang w:val="en-US" w:eastAsia="zh-CN"/>
              </w:rPr>
              <w:t>5</w:t>
            </w:r>
            <w:r>
              <w:rPr>
                <w:rFonts w:hint="eastAsia" w:ascii="宋体" w:hAnsi="宋体"/>
                <w:color w:val="auto"/>
                <w:sz w:val="18"/>
                <w:szCs w:val="18"/>
              </w:rPr>
              <w:t>分。</w:t>
            </w:r>
          </w:p>
        </w:tc>
        <w:tc>
          <w:tcPr>
            <w:tcW w:w="630" w:type="dxa"/>
            <w:vAlign w:val="center"/>
          </w:tcPr>
          <w:p>
            <w:pPr>
              <w:widowControl/>
              <w:spacing w:line="240" w:lineRule="auto"/>
              <w:jc w:val="center"/>
              <w:textAlignment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5</w:t>
            </w:r>
          </w:p>
        </w:tc>
      </w:tr>
    </w:tbl>
    <w:p>
      <w:pPr>
        <w:rPr>
          <w:rFonts w:hint="eastAsia" w:ascii="黑体" w:hAnsi="黑体" w:eastAsia="黑体"/>
          <w:color w:val="auto"/>
        </w:rPr>
      </w:pPr>
      <w:r>
        <w:rPr>
          <w:rFonts w:hint="eastAsia" w:ascii="黑体" w:hAnsi="黑体" w:eastAsia="黑体"/>
          <w:color w:val="auto"/>
        </w:rPr>
        <w:br w:type="page"/>
      </w:r>
    </w:p>
    <w:p>
      <w:pPr>
        <w:pStyle w:val="57"/>
        <w:keepNext/>
        <w:keepLines w:val="0"/>
        <w:pageBreakBefore w:val="0"/>
        <w:widowControl w:val="0"/>
        <w:kinsoku/>
        <w:wordWrap/>
        <w:overflowPunct/>
        <w:topLinePunct w:val="0"/>
        <w:autoSpaceDE w:val="0"/>
        <w:autoSpaceDN w:val="0"/>
        <w:bidi w:val="0"/>
        <w:adjustRightInd/>
        <w:snapToGrid/>
        <w:spacing w:beforeLines="50" w:afterLines="50"/>
        <w:ind w:firstLine="0" w:firstLineChars="0"/>
        <w:jc w:val="center"/>
        <w:textAlignment w:val="auto"/>
        <w:rPr>
          <w:rFonts w:ascii="黑体" w:hAnsi="黑体" w:eastAsia="黑体"/>
          <w:color w:val="auto"/>
        </w:rPr>
      </w:pPr>
      <w:r>
        <w:rPr>
          <w:rFonts w:hint="eastAsia" w:ascii="黑体" w:hAnsi="黑体" w:eastAsia="黑体"/>
          <w:color w:val="auto"/>
        </w:rPr>
        <w:t>附录A</w:t>
      </w:r>
      <w:r>
        <w:rPr>
          <w:rFonts w:hint="eastAsia" w:hAnsi="宋体"/>
          <w:color w:val="auto"/>
        </w:rPr>
        <w:t>（续）</w:t>
      </w:r>
    </w:p>
    <w:tbl>
      <w:tblPr>
        <w:tblStyle w:val="28"/>
        <w:tblW w:w="9834"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966"/>
        <w:gridCol w:w="1511"/>
        <w:gridCol w:w="605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84" w:type="dxa"/>
          </w:tcPr>
          <w:p>
            <w:pPr>
              <w:spacing w:line="240" w:lineRule="auto"/>
              <w:jc w:val="center"/>
              <w:rPr>
                <w:rFonts w:ascii="宋体" w:hAnsi="宋体"/>
                <w:color w:val="auto"/>
                <w:sz w:val="18"/>
                <w:szCs w:val="18"/>
              </w:rPr>
            </w:pPr>
            <w:r>
              <w:rPr>
                <w:rFonts w:hint="eastAsia" w:ascii="宋体" w:hAnsi="宋体"/>
                <w:color w:val="auto"/>
                <w:sz w:val="18"/>
                <w:szCs w:val="18"/>
              </w:rPr>
              <w:t>序号</w:t>
            </w:r>
          </w:p>
        </w:tc>
        <w:tc>
          <w:tcPr>
            <w:tcW w:w="96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一级指标</w:t>
            </w:r>
          </w:p>
        </w:tc>
        <w:tc>
          <w:tcPr>
            <w:tcW w:w="1511"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二级指标</w:t>
            </w:r>
          </w:p>
        </w:tc>
        <w:tc>
          <w:tcPr>
            <w:tcW w:w="605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评分标准</w:t>
            </w:r>
          </w:p>
        </w:tc>
        <w:tc>
          <w:tcPr>
            <w:tcW w:w="617"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4"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3</w:t>
            </w:r>
          </w:p>
        </w:tc>
        <w:tc>
          <w:tcPr>
            <w:tcW w:w="966"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智慧物流</w:t>
            </w:r>
          </w:p>
        </w:tc>
        <w:tc>
          <w:tcPr>
            <w:tcW w:w="1511"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信息化建设</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企业建立</w:t>
            </w:r>
            <w:r>
              <w:rPr>
                <w:rFonts w:hint="eastAsia" w:ascii="宋体" w:hAnsi="宋体"/>
                <w:color w:val="auto"/>
                <w:sz w:val="18"/>
                <w:szCs w:val="18"/>
                <w:lang w:val="en-US" w:eastAsia="zh-CN"/>
              </w:rPr>
              <w:t>覆盖</w:t>
            </w:r>
            <w:r>
              <w:rPr>
                <w:rFonts w:hint="eastAsia" w:ascii="宋体" w:hAnsi="宋体"/>
                <w:color w:val="auto"/>
                <w:sz w:val="18"/>
                <w:szCs w:val="18"/>
              </w:rPr>
              <w:t>收货、运输、派送等全业务环节</w:t>
            </w:r>
            <w:r>
              <w:rPr>
                <w:rFonts w:hint="eastAsia" w:ascii="宋体" w:hAnsi="宋体"/>
                <w:color w:val="auto"/>
                <w:sz w:val="18"/>
                <w:szCs w:val="18"/>
                <w:lang w:val="en-US" w:eastAsia="zh-CN"/>
              </w:rPr>
              <w:t>的信息管理系统</w:t>
            </w:r>
            <w:r>
              <w:rPr>
                <w:rFonts w:hint="eastAsia" w:ascii="宋体" w:hAnsi="宋体"/>
                <w:color w:val="auto"/>
                <w:sz w:val="18"/>
                <w:szCs w:val="18"/>
              </w:rPr>
              <w:t>，得</w:t>
            </w:r>
            <w:r>
              <w:rPr>
                <w:rFonts w:hint="eastAsia" w:ascii="宋体" w:hAnsi="宋体"/>
                <w:color w:val="auto"/>
                <w:sz w:val="18"/>
                <w:szCs w:val="18"/>
                <w:lang w:val="en-US" w:eastAsia="zh-CN"/>
              </w:rPr>
              <w:t>1</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Merge w:val="restart"/>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动态监控</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车辆管理系统可实时监控营运车辆的车况、路况、位置、行驶轨迹、驾驶员状态等信息，得</w:t>
            </w:r>
            <w:r>
              <w:rPr>
                <w:rFonts w:hint="eastAsia" w:ascii="宋体" w:hAnsi="宋体"/>
                <w:color w:val="auto"/>
                <w:sz w:val="18"/>
                <w:szCs w:val="18"/>
                <w:lang w:val="en-US" w:eastAsia="zh-CN"/>
              </w:rPr>
              <w:t>3</w:t>
            </w:r>
            <w:r>
              <w:rPr>
                <w:rFonts w:hint="eastAsia" w:ascii="宋体" w:hAnsi="宋体"/>
                <w:color w:val="auto"/>
                <w:sz w:val="18"/>
                <w:szCs w:val="18"/>
              </w:rPr>
              <w:t>分。</w:t>
            </w:r>
          </w:p>
        </w:tc>
        <w:tc>
          <w:tcPr>
            <w:tcW w:w="617" w:type="dxa"/>
            <w:vMerge w:val="restart"/>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Merge w:val="continue"/>
            <w:vAlign w:val="center"/>
          </w:tcPr>
          <w:p>
            <w:pPr>
              <w:widowControl/>
              <w:spacing w:line="240" w:lineRule="auto"/>
              <w:jc w:val="center"/>
              <w:textAlignment w:val="center"/>
              <w:rPr>
                <w:rFonts w:ascii="宋体" w:hAnsi="宋体"/>
                <w:color w:val="auto"/>
                <w:sz w:val="18"/>
                <w:szCs w:val="18"/>
              </w:rPr>
            </w:pP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车辆管理系统具备自动统计分析、自动排障、自动预警、自动提醒等智能辅助功能，得</w:t>
            </w:r>
            <w:r>
              <w:rPr>
                <w:rFonts w:hint="eastAsia" w:ascii="宋体" w:hAnsi="宋体"/>
                <w:color w:val="auto"/>
                <w:sz w:val="18"/>
                <w:szCs w:val="18"/>
                <w:lang w:val="en-US" w:eastAsia="zh-CN"/>
              </w:rPr>
              <w:t>2</w:t>
            </w:r>
            <w:r>
              <w:rPr>
                <w:rFonts w:hint="eastAsia" w:ascii="宋体" w:hAnsi="宋体"/>
                <w:color w:val="auto"/>
                <w:sz w:val="18"/>
                <w:szCs w:val="18"/>
              </w:rPr>
              <w:t>分。</w:t>
            </w:r>
          </w:p>
        </w:tc>
        <w:tc>
          <w:tcPr>
            <w:tcW w:w="617" w:type="dxa"/>
            <w:vMerge w:val="continue"/>
            <w:vAlign w:val="center"/>
          </w:tcPr>
          <w:p>
            <w:pPr>
              <w:widowControl/>
              <w:spacing w:line="240" w:lineRule="auto"/>
              <w:jc w:val="center"/>
              <w:textAlignment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智能货运调度</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lang w:val="en-US" w:eastAsia="zh-CN"/>
              </w:rPr>
              <w:t>企业</w:t>
            </w:r>
            <w:r>
              <w:rPr>
                <w:rFonts w:hint="eastAsia" w:ascii="宋体" w:hAnsi="宋体"/>
                <w:color w:val="auto"/>
                <w:sz w:val="18"/>
                <w:szCs w:val="18"/>
              </w:rPr>
              <w:t>系统可根据不同业务场景</w:t>
            </w:r>
            <w:r>
              <w:rPr>
                <w:rFonts w:hint="eastAsia" w:ascii="宋体" w:hAnsi="宋体"/>
                <w:color w:val="auto"/>
                <w:sz w:val="18"/>
                <w:szCs w:val="18"/>
                <w:lang w:val="en-US" w:eastAsia="zh-CN"/>
              </w:rPr>
              <w:t>自动</w:t>
            </w:r>
            <w:r>
              <w:rPr>
                <w:rFonts w:hint="eastAsia" w:ascii="宋体" w:hAnsi="宋体"/>
                <w:color w:val="auto"/>
                <w:sz w:val="18"/>
                <w:szCs w:val="18"/>
              </w:rPr>
              <w:t>完成货运调度</w:t>
            </w:r>
            <w:r>
              <w:rPr>
                <w:rFonts w:hint="eastAsia" w:ascii="宋体" w:hAnsi="宋体"/>
                <w:color w:val="auto"/>
                <w:sz w:val="18"/>
                <w:szCs w:val="18"/>
                <w:lang w:val="en-US" w:eastAsia="zh-CN"/>
              </w:rPr>
              <w:t>及路由优化</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rPr>
              <w:t>技术</w:t>
            </w:r>
            <w:r>
              <w:rPr>
                <w:rFonts w:hint="eastAsia" w:ascii="宋体" w:hAnsi="宋体"/>
                <w:color w:val="auto"/>
                <w:sz w:val="18"/>
                <w:szCs w:val="18"/>
                <w:lang w:val="en-US" w:eastAsia="zh-CN"/>
              </w:rPr>
              <w:t>及设备应用</w:t>
            </w:r>
            <w:bookmarkStart w:id="62" w:name="_GoBack"/>
            <w:bookmarkEnd w:id="62"/>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企业应用了</w:t>
            </w:r>
            <w:r>
              <w:rPr>
                <w:rFonts w:hint="eastAsia" w:ascii="宋体" w:hAnsi="宋体"/>
                <w:color w:val="auto"/>
                <w:sz w:val="18"/>
                <w:szCs w:val="18"/>
                <w:lang w:val="en-US" w:eastAsia="zh-CN"/>
              </w:rPr>
              <w:t>5G、</w:t>
            </w:r>
            <w:r>
              <w:rPr>
                <w:rFonts w:hint="eastAsia" w:ascii="宋体" w:hAnsi="宋体"/>
                <w:color w:val="auto"/>
                <w:sz w:val="18"/>
                <w:szCs w:val="18"/>
              </w:rPr>
              <w:t>AI、大数据、云计算等新</w:t>
            </w:r>
            <w:r>
              <w:rPr>
                <w:rFonts w:hint="eastAsia" w:ascii="宋体" w:hAnsi="宋体"/>
                <w:color w:val="auto"/>
                <w:sz w:val="18"/>
                <w:szCs w:val="18"/>
                <w:lang w:val="en-US" w:eastAsia="zh-CN"/>
              </w:rPr>
              <w:t>一代</w:t>
            </w:r>
            <w:r>
              <w:rPr>
                <w:rFonts w:hint="eastAsia" w:ascii="宋体" w:hAnsi="宋体"/>
                <w:color w:val="auto"/>
                <w:sz w:val="18"/>
                <w:szCs w:val="18"/>
              </w:rPr>
              <w:t>技术</w:t>
            </w:r>
            <w:r>
              <w:rPr>
                <w:rFonts w:hint="eastAsia" w:ascii="宋体" w:hAnsi="宋体"/>
                <w:color w:val="auto"/>
                <w:sz w:val="18"/>
                <w:szCs w:val="18"/>
                <w:lang w:val="en-US" w:eastAsia="zh-CN"/>
              </w:rPr>
              <w:t>或AGV机器人、无人叉车、自动分拣机等智能设备</w:t>
            </w:r>
            <w:r>
              <w:rPr>
                <w:rFonts w:hint="eastAsia" w:ascii="宋体" w:hAnsi="宋体"/>
                <w:color w:val="auto"/>
                <w:sz w:val="18"/>
                <w:szCs w:val="18"/>
              </w:rPr>
              <w:t>，得1分。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无纸化作业</w:t>
            </w:r>
          </w:p>
        </w:tc>
        <w:tc>
          <w:tcPr>
            <w:tcW w:w="6056" w:type="dxa"/>
            <w:vAlign w:val="center"/>
          </w:tcPr>
          <w:p>
            <w:pPr>
              <w:widowControl/>
              <w:spacing w:line="240" w:lineRule="auto"/>
              <w:jc w:val="left"/>
              <w:textAlignment w:val="center"/>
              <w:rPr>
                <w:rFonts w:hint="eastAsia" w:ascii="宋体" w:hAnsi="宋体" w:eastAsia="宋体"/>
                <w:color w:val="auto"/>
                <w:sz w:val="18"/>
                <w:szCs w:val="18"/>
                <w:lang w:eastAsia="zh-CN"/>
              </w:rPr>
            </w:pPr>
            <w:r>
              <w:rPr>
                <w:rFonts w:hint="eastAsia" w:ascii="宋体" w:hAnsi="宋体"/>
                <w:color w:val="auto"/>
                <w:sz w:val="18"/>
                <w:szCs w:val="18"/>
              </w:rPr>
              <w:t>电子运输单据比例≥70%，得1分</w:t>
            </w:r>
            <w:r>
              <w:rPr>
                <w:rFonts w:hint="eastAsia" w:ascii="宋体" w:hAnsi="宋体"/>
                <w:color w:val="auto"/>
                <w:sz w:val="18"/>
                <w:szCs w:val="18"/>
                <w:lang w:eastAsia="zh-CN"/>
              </w:rPr>
              <w:t>。</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4</w:t>
            </w:r>
          </w:p>
        </w:tc>
        <w:tc>
          <w:tcPr>
            <w:tcW w:w="966"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lang w:val="en-US" w:eastAsia="zh-CN"/>
              </w:rPr>
              <w:t>经营运作</w:t>
            </w: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lang w:val="en-US" w:eastAsia="zh-CN"/>
              </w:rPr>
              <w:t>制度</w:t>
            </w:r>
            <w:r>
              <w:rPr>
                <w:rFonts w:hint="eastAsia" w:ascii="宋体" w:hAnsi="宋体"/>
                <w:color w:val="auto"/>
                <w:sz w:val="18"/>
                <w:szCs w:val="18"/>
              </w:rPr>
              <w:t>管理</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企业建立</w:t>
            </w:r>
            <w:r>
              <w:rPr>
                <w:rFonts w:hint="eastAsia" w:ascii="宋体" w:hAnsi="宋体"/>
                <w:color w:val="auto"/>
                <w:sz w:val="18"/>
                <w:szCs w:val="18"/>
                <w:lang w:val="en-US" w:eastAsia="zh-CN"/>
              </w:rPr>
              <w:t>了节能降碳、绿色环保相关的规章</w:t>
            </w:r>
            <w:r>
              <w:rPr>
                <w:rFonts w:hint="eastAsia" w:ascii="宋体" w:hAnsi="宋体"/>
                <w:color w:val="auto"/>
                <w:sz w:val="18"/>
                <w:szCs w:val="18"/>
              </w:rPr>
              <w:t>制度</w:t>
            </w:r>
            <w:r>
              <w:rPr>
                <w:rFonts w:hint="eastAsia" w:ascii="宋体" w:hAnsi="宋体"/>
                <w:color w:val="auto"/>
                <w:sz w:val="18"/>
                <w:szCs w:val="18"/>
                <w:lang w:val="en-US" w:eastAsia="zh-CN"/>
              </w:rPr>
              <w:t>并执行</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pStyle w:val="57"/>
              <w:ind w:firstLine="0" w:firstLineChars="0"/>
              <w:jc w:val="center"/>
              <w:rPr>
                <w:rFonts w:hAnsi="宋体"/>
                <w:color w:val="auto"/>
                <w:kern w:val="2"/>
                <w:sz w:val="18"/>
                <w:szCs w:val="18"/>
              </w:rPr>
            </w:pPr>
          </w:p>
        </w:tc>
        <w:tc>
          <w:tcPr>
            <w:tcW w:w="966" w:type="dxa"/>
            <w:vMerge w:val="continue"/>
            <w:vAlign w:val="center"/>
          </w:tcPr>
          <w:p>
            <w:pPr>
              <w:pStyle w:val="57"/>
              <w:ind w:firstLine="0" w:firstLineChars="0"/>
              <w:jc w:val="center"/>
              <w:rPr>
                <w:rFonts w:hAnsi="宋体"/>
                <w:color w:val="auto"/>
                <w:kern w:val="2"/>
                <w:sz w:val="18"/>
                <w:szCs w:val="18"/>
              </w:rPr>
            </w:pPr>
          </w:p>
        </w:tc>
        <w:tc>
          <w:tcPr>
            <w:tcW w:w="1511" w:type="dxa"/>
            <w:vAlign w:val="center"/>
          </w:tcPr>
          <w:p>
            <w:pPr>
              <w:widowControl/>
              <w:spacing w:line="240" w:lineRule="auto"/>
              <w:jc w:val="center"/>
              <w:textAlignment w:val="center"/>
              <w:rPr>
                <w:rFonts w:hint="eastAsia" w:ascii="宋体" w:hAnsi="宋体" w:eastAsia="宋体"/>
                <w:color w:val="auto"/>
                <w:sz w:val="18"/>
                <w:szCs w:val="18"/>
                <w:lang w:val="en-US" w:eastAsia="zh-CN"/>
              </w:rPr>
            </w:pPr>
            <w:r>
              <w:rPr>
                <w:rFonts w:hint="eastAsia" w:ascii="宋体" w:hAnsi="宋体"/>
                <w:color w:val="auto"/>
                <w:sz w:val="18"/>
                <w:szCs w:val="18"/>
              </w:rPr>
              <w:t>商业</w:t>
            </w:r>
            <w:r>
              <w:rPr>
                <w:rFonts w:hint="eastAsia" w:ascii="宋体" w:hAnsi="宋体"/>
                <w:color w:val="auto"/>
                <w:sz w:val="18"/>
                <w:szCs w:val="18"/>
                <w:lang w:val="en-US" w:eastAsia="zh-CN"/>
              </w:rPr>
              <w:t>实践</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企业与供应商、新能源合作方、金融投资机构、技术公司等开展践行绿色低碳理念的商业合作，得2分。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pStyle w:val="57"/>
              <w:ind w:firstLine="0" w:firstLineChars="0"/>
              <w:jc w:val="center"/>
              <w:rPr>
                <w:rFonts w:hAnsi="宋体"/>
                <w:color w:val="auto"/>
                <w:kern w:val="2"/>
                <w:sz w:val="18"/>
                <w:szCs w:val="18"/>
              </w:rPr>
            </w:pPr>
          </w:p>
        </w:tc>
        <w:tc>
          <w:tcPr>
            <w:tcW w:w="966" w:type="dxa"/>
            <w:vMerge w:val="continue"/>
            <w:vAlign w:val="center"/>
          </w:tcPr>
          <w:p>
            <w:pPr>
              <w:pStyle w:val="57"/>
              <w:ind w:firstLine="0" w:firstLineChars="0"/>
              <w:jc w:val="center"/>
              <w:rPr>
                <w:rFonts w:hAnsi="宋体"/>
                <w:color w:val="auto"/>
                <w:kern w:val="2"/>
                <w:sz w:val="18"/>
                <w:szCs w:val="18"/>
              </w:rPr>
            </w:pPr>
          </w:p>
        </w:tc>
        <w:tc>
          <w:tcPr>
            <w:tcW w:w="1511"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供应商管理</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w:t>
            </w:r>
            <w:r>
              <w:rPr>
                <w:rFonts w:hint="eastAsia" w:ascii="宋体" w:hAnsi="宋体"/>
                <w:color w:val="auto"/>
                <w:sz w:val="18"/>
                <w:szCs w:val="18"/>
                <w:lang w:val="en-US" w:eastAsia="zh-CN"/>
              </w:rPr>
              <w:t>在</w:t>
            </w:r>
            <w:r>
              <w:rPr>
                <w:rFonts w:hint="eastAsia" w:ascii="宋体" w:hAnsi="宋体"/>
                <w:color w:val="auto"/>
                <w:sz w:val="18"/>
                <w:szCs w:val="18"/>
              </w:rPr>
              <w:t>供应商</w:t>
            </w:r>
            <w:r>
              <w:rPr>
                <w:rFonts w:hint="eastAsia" w:ascii="宋体" w:hAnsi="宋体"/>
                <w:color w:val="auto"/>
                <w:sz w:val="18"/>
                <w:szCs w:val="18"/>
                <w:lang w:val="en-US" w:eastAsia="zh-CN"/>
              </w:rPr>
              <w:t>管理中体现绿色低碳理念，</w:t>
            </w:r>
            <w:r>
              <w:rPr>
                <w:rFonts w:hint="eastAsia" w:ascii="宋体" w:hAnsi="宋体"/>
                <w:color w:val="auto"/>
                <w:sz w:val="18"/>
                <w:szCs w:val="18"/>
              </w:rPr>
              <w:t>得</w:t>
            </w:r>
            <w:r>
              <w:rPr>
                <w:rFonts w:hint="eastAsia" w:ascii="宋体" w:hAnsi="宋体"/>
                <w:color w:val="auto"/>
                <w:sz w:val="18"/>
                <w:szCs w:val="18"/>
                <w:lang w:val="en-US" w:eastAsia="zh-CN"/>
              </w:rPr>
              <w:t>2</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pStyle w:val="57"/>
              <w:ind w:firstLine="0" w:firstLineChars="0"/>
              <w:jc w:val="center"/>
              <w:rPr>
                <w:rFonts w:hAnsi="宋体"/>
                <w:color w:val="auto"/>
                <w:kern w:val="2"/>
                <w:sz w:val="18"/>
                <w:szCs w:val="18"/>
              </w:rPr>
            </w:pPr>
          </w:p>
        </w:tc>
        <w:tc>
          <w:tcPr>
            <w:tcW w:w="966" w:type="dxa"/>
            <w:vMerge w:val="continue"/>
            <w:vAlign w:val="center"/>
          </w:tcPr>
          <w:p>
            <w:pPr>
              <w:pStyle w:val="57"/>
              <w:ind w:firstLine="0" w:firstLineChars="0"/>
              <w:jc w:val="center"/>
              <w:rPr>
                <w:rFonts w:hAnsi="宋体"/>
                <w:color w:val="auto"/>
                <w:kern w:val="2"/>
                <w:sz w:val="18"/>
                <w:szCs w:val="18"/>
              </w:rPr>
            </w:pP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培训动员</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企业制定了绿色低碳</w:t>
            </w:r>
            <w:r>
              <w:rPr>
                <w:rFonts w:hint="eastAsia" w:ascii="宋体" w:hAnsi="宋体"/>
                <w:color w:val="auto"/>
                <w:sz w:val="18"/>
                <w:szCs w:val="18"/>
                <w:lang w:val="en-US" w:eastAsia="zh-CN"/>
              </w:rPr>
              <w:t>相关</w:t>
            </w:r>
            <w:r>
              <w:rPr>
                <w:rFonts w:hint="eastAsia" w:ascii="宋体" w:hAnsi="宋体"/>
                <w:color w:val="auto"/>
                <w:sz w:val="18"/>
                <w:szCs w:val="18"/>
              </w:rPr>
              <w:t>的培训动员活动计划</w:t>
            </w:r>
            <w:r>
              <w:rPr>
                <w:rFonts w:hint="eastAsia" w:ascii="宋体" w:hAnsi="宋体"/>
                <w:color w:val="auto"/>
                <w:sz w:val="18"/>
                <w:szCs w:val="18"/>
                <w:lang w:val="en-US" w:eastAsia="zh-CN"/>
              </w:rPr>
              <w:t>并落实到位</w:t>
            </w:r>
            <w:r>
              <w:rPr>
                <w:rFonts w:hint="eastAsia" w:ascii="宋体" w:hAnsi="宋体"/>
                <w:color w:val="auto"/>
                <w:sz w:val="18"/>
                <w:szCs w:val="18"/>
              </w:rPr>
              <w:t>，培训</w:t>
            </w:r>
            <w:r>
              <w:rPr>
                <w:rFonts w:hint="eastAsia" w:ascii="宋体" w:hAnsi="宋体"/>
                <w:color w:val="auto"/>
                <w:sz w:val="18"/>
                <w:szCs w:val="18"/>
                <w:lang w:val="en-US" w:eastAsia="zh-CN"/>
              </w:rPr>
              <w:t>动员</w:t>
            </w:r>
            <w:r>
              <w:rPr>
                <w:rFonts w:hint="eastAsia" w:ascii="宋体" w:hAnsi="宋体"/>
                <w:color w:val="auto"/>
                <w:sz w:val="18"/>
                <w:szCs w:val="18"/>
              </w:rPr>
              <w:t>对象包括基层业务人员及中高层管理人员，得2分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pStyle w:val="57"/>
              <w:ind w:firstLine="0" w:firstLineChars="0"/>
              <w:jc w:val="center"/>
              <w:rPr>
                <w:rFonts w:hAnsi="宋体"/>
                <w:color w:val="auto"/>
                <w:kern w:val="2"/>
                <w:sz w:val="18"/>
                <w:szCs w:val="18"/>
              </w:rPr>
            </w:pPr>
          </w:p>
        </w:tc>
        <w:tc>
          <w:tcPr>
            <w:tcW w:w="966" w:type="dxa"/>
            <w:vMerge w:val="continue"/>
            <w:vAlign w:val="center"/>
          </w:tcPr>
          <w:p>
            <w:pPr>
              <w:pStyle w:val="57"/>
              <w:ind w:firstLine="0" w:firstLineChars="0"/>
              <w:jc w:val="center"/>
              <w:rPr>
                <w:rFonts w:hAnsi="宋体"/>
                <w:color w:val="auto"/>
                <w:kern w:val="2"/>
                <w:sz w:val="18"/>
                <w:szCs w:val="18"/>
              </w:rPr>
            </w:pPr>
          </w:p>
        </w:tc>
        <w:tc>
          <w:tcPr>
            <w:tcW w:w="1511" w:type="dxa"/>
            <w:vAlign w:val="center"/>
          </w:tcPr>
          <w:p>
            <w:pPr>
              <w:widowControl/>
              <w:spacing w:line="240" w:lineRule="auto"/>
              <w:jc w:val="center"/>
              <w:textAlignment w:val="center"/>
              <w:rPr>
                <w:rFonts w:hint="eastAsia" w:ascii="宋体" w:hAnsi="宋体" w:eastAsia="宋体"/>
                <w:color w:val="auto"/>
                <w:sz w:val="18"/>
                <w:szCs w:val="18"/>
                <w:lang w:val="en-US" w:eastAsia="zh-CN"/>
              </w:rPr>
            </w:pPr>
            <w:r>
              <w:rPr>
                <w:rFonts w:hint="eastAsia" w:ascii="宋体" w:hAnsi="宋体"/>
                <w:color w:val="auto"/>
                <w:sz w:val="18"/>
                <w:szCs w:val="18"/>
              </w:rPr>
              <w:t>宣传</w:t>
            </w:r>
            <w:r>
              <w:rPr>
                <w:rFonts w:hint="eastAsia" w:ascii="宋体" w:hAnsi="宋体"/>
                <w:color w:val="auto"/>
                <w:sz w:val="18"/>
                <w:szCs w:val="18"/>
                <w:lang w:val="en-US" w:eastAsia="zh-CN"/>
              </w:rPr>
              <w:t>推广</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企业开展了绿色低碳相关的外部宣传</w:t>
            </w:r>
            <w:r>
              <w:rPr>
                <w:rFonts w:hint="eastAsia" w:ascii="宋体" w:hAnsi="宋体"/>
                <w:color w:val="auto"/>
                <w:sz w:val="18"/>
                <w:szCs w:val="18"/>
                <w:lang w:val="en-US" w:eastAsia="zh-CN"/>
              </w:rPr>
              <w:t>推广</w:t>
            </w:r>
            <w:r>
              <w:rPr>
                <w:rFonts w:hint="eastAsia" w:ascii="宋体" w:hAnsi="宋体"/>
                <w:color w:val="auto"/>
                <w:sz w:val="18"/>
                <w:szCs w:val="18"/>
              </w:rPr>
              <w:t>活动，得2分。</w:t>
            </w:r>
          </w:p>
        </w:tc>
        <w:tc>
          <w:tcPr>
            <w:tcW w:w="617"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vAlign w:val="center"/>
          </w:tcPr>
          <w:p>
            <w:pPr>
              <w:pStyle w:val="57"/>
              <w:ind w:firstLine="0" w:firstLineChars="0"/>
              <w:jc w:val="center"/>
              <w:rPr>
                <w:rFonts w:hAnsi="宋体"/>
                <w:color w:val="auto"/>
                <w:kern w:val="2"/>
                <w:sz w:val="18"/>
                <w:szCs w:val="18"/>
              </w:rPr>
            </w:pPr>
            <w:r>
              <w:rPr>
                <w:rFonts w:hint="eastAsia" w:hAnsi="宋体"/>
                <w:color w:val="auto"/>
                <w:kern w:val="2"/>
                <w:sz w:val="18"/>
                <w:szCs w:val="18"/>
              </w:rPr>
              <w:t>5</w:t>
            </w:r>
          </w:p>
        </w:tc>
        <w:tc>
          <w:tcPr>
            <w:tcW w:w="966" w:type="dxa"/>
            <w:vMerge w:val="restart"/>
            <w:vAlign w:val="center"/>
          </w:tcPr>
          <w:p>
            <w:pPr>
              <w:pStyle w:val="57"/>
              <w:ind w:firstLine="0" w:firstLineChars="0"/>
              <w:jc w:val="center"/>
              <w:rPr>
                <w:rFonts w:hint="eastAsia" w:hAnsi="宋体" w:eastAsia="宋体"/>
                <w:color w:val="auto"/>
                <w:kern w:val="2"/>
                <w:sz w:val="18"/>
                <w:szCs w:val="18"/>
                <w:lang w:val="en-US" w:eastAsia="zh-CN"/>
              </w:rPr>
            </w:pPr>
            <w:r>
              <w:rPr>
                <w:rFonts w:hint="eastAsia" w:hAnsi="宋体"/>
                <w:color w:val="auto"/>
                <w:kern w:val="2"/>
                <w:sz w:val="18"/>
                <w:szCs w:val="18"/>
              </w:rPr>
              <w:t>社会效益</w:t>
            </w:r>
            <w:r>
              <w:rPr>
                <w:rFonts w:hint="eastAsia" w:hAnsi="宋体"/>
                <w:color w:val="auto"/>
                <w:kern w:val="2"/>
                <w:sz w:val="18"/>
                <w:szCs w:val="18"/>
                <w:lang w:val="en-US" w:eastAsia="zh-CN"/>
              </w:rPr>
              <w:t xml:space="preserve"> </w:t>
            </w: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信息披露</w:t>
            </w:r>
          </w:p>
        </w:tc>
        <w:tc>
          <w:tcPr>
            <w:tcW w:w="6056" w:type="dxa"/>
            <w:vAlign w:val="center"/>
          </w:tcPr>
          <w:p>
            <w:pPr>
              <w:widowControl/>
              <w:spacing w:line="240" w:lineRule="auto"/>
              <w:jc w:val="left"/>
              <w:textAlignment w:val="center"/>
              <w:rPr>
                <w:rFonts w:hint="default" w:ascii="宋体" w:hAnsi="宋体" w:eastAsia="宋体"/>
                <w:color w:val="auto"/>
                <w:sz w:val="18"/>
                <w:szCs w:val="18"/>
                <w:lang w:val="en-US" w:eastAsia="zh-CN"/>
              </w:rPr>
            </w:pPr>
            <w:r>
              <w:rPr>
                <w:rFonts w:hint="eastAsia" w:ascii="宋体" w:hAnsi="宋体"/>
                <w:color w:val="auto"/>
                <w:sz w:val="18"/>
                <w:szCs w:val="18"/>
              </w:rPr>
              <w:t>企业通过</w:t>
            </w:r>
            <w:r>
              <w:rPr>
                <w:rFonts w:hint="eastAsia" w:ascii="宋体" w:hAnsi="宋体"/>
                <w:color w:val="auto"/>
                <w:sz w:val="18"/>
                <w:szCs w:val="18"/>
                <w:lang w:val="en-US" w:eastAsia="zh-CN"/>
              </w:rPr>
              <w:t>各类</w:t>
            </w:r>
            <w:r>
              <w:rPr>
                <w:rFonts w:hint="eastAsia" w:ascii="宋体" w:hAnsi="宋体"/>
                <w:color w:val="auto"/>
                <w:sz w:val="18"/>
                <w:szCs w:val="18"/>
              </w:rPr>
              <w:t>报告</w:t>
            </w:r>
            <w:r>
              <w:rPr>
                <w:rFonts w:hint="eastAsia" w:ascii="宋体" w:hAnsi="宋体"/>
                <w:color w:val="auto"/>
                <w:sz w:val="18"/>
                <w:szCs w:val="18"/>
                <w:lang w:eastAsia="zh-CN"/>
              </w:rPr>
              <w:t>、</w:t>
            </w:r>
            <w:r>
              <w:rPr>
                <w:rFonts w:hint="eastAsia" w:ascii="宋体" w:hAnsi="宋体"/>
                <w:color w:val="auto"/>
                <w:sz w:val="18"/>
                <w:szCs w:val="18"/>
                <w:lang w:val="en-US" w:eastAsia="zh-CN"/>
              </w:rPr>
              <w:t>白皮书</w:t>
            </w:r>
            <w:r>
              <w:rPr>
                <w:rFonts w:hint="eastAsia" w:ascii="宋体" w:hAnsi="宋体"/>
                <w:color w:val="auto"/>
                <w:sz w:val="18"/>
                <w:szCs w:val="18"/>
              </w:rPr>
              <w:t>等</w:t>
            </w:r>
            <w:r>
              <w:rPr>
                <w:rFonts w:hint="eastAsia" w:ascii="宋体" w:hAnsi="宋体"/>
                <w:color w:val="auto"/>
                <w:sz w:val="18"/>
                <w:szCs w:val="18"/>
                <w:lang w:val="en-US" w:eastAsia="zh-CN"/>
              </w:rPr>
              <w:t>形式</w:t>
            </w:r>
            <w:r>
              <w:rPr>
                <w:rFonts w:hint="eastAsia" w:ascii="宋体" w:hAnsi="宋体"/>
                <w:color w:val="auto"/>
                <w:sz w:val="18"/>
                <w:szCs w:val="18"/>
              </w:rPr>
              <w:t>向社会</w:t>
            </w:r>
            <w:r>
              <w:rPr>
                <w:rFonts w:hint="eastAsia" w:ascii="宋体" w:hAnsi="宋体"/>
                <w:color w:val="auto"/>
                <w:sz w:val="18"/>
                <w:szCs w:val="18"/>
                <w:lang w:val="en-US" w:eastAsia="zh-CN"/>
              </w:rPr>
              <w:t>公开企业</w:t>
            </w:r>
            <w:r>
              <w:rPr>
                <w:rFonts w:hint="eastAsia" w:ascii="宋体" w:hAnsi="宋体"/>
                <w:color w:val="auto"/>
                <w:sz w:val="18"/>
                <w:szCs w:val="18"/>
              </w:rPr>
              <w:t>绿色低碳实践的信息</w:t>
            </w:r>
            <w:r>
              <w:rPr>
                <w:rFonts w:hint="eastAsia" w:ascii="宋体" w:hAnsi="宋体"/>
                <w:color w:val="auto"/>
                <w:sz w:val="18"/>
                <w:szCs w:val="18"/>
                <w:lang w:eastAsia="zh-CN"/>
              </w:rPr>
              <w:t>，</w:t>
            </w:r>
            <w:r>
              <w:rPr>
                <w:rFonts w:hint="eastAsia" w:ascii="宋体" w:hAnsi="宋体"/>
                <w:color w:val="auto"/>
                <w:sz w:val="18"/>
                <w:szCs w:val="18"/>
                <w:lang w:val="en-US" w:eastAsia="zh-CN"/>
              </w:rPr>
              <w:t>得1分。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碳抵消</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企业通过植树造林、开展清洁能源项目、购买碳排放额度等方式</w:t>
            </w:r>
            <w:r>
              <w:rPr>
                <w:rFonts w:hint="eastAsia" w:ascii="宋体" w:hAnsi="宋体"/>
                <w:color w:val="auto"/>
                <w:sz w:val="18"/>
                <w:szCs w:val="18"/>
                <w:lang w:val="en-US" w:eastAsia="zh-CN"/>
              </w:rPr>
              <w:t>开展</w:t>
            </w:r>
            <w:r>
              <w:rPr>
                <w:rFonts w:hint="eastAsia" w:ascii="宋体" w:hAnsi="宋体"/>
                <w:color w:val="auto"/>
                <w:sz w:val="18"/>
                <w:szCs w:val="18"/>
              </w:rPr>
              <w:t>碳抵消</w:t>
            </w:r>
            <w:r>
              <w:rPr>
                <w:rFonts w:hint="eastAsia" w:ascii="宋体" w:hAnsi="宋体"/>
                <w:color w:val="auto"/>
                <w:sz w:val="18"/>
                <w:szCs w:val="18"/>
                <w:lang w:val="en-US" w:eastAsia="zh-CN"/>
              </w:rPr>
              <w:t>活动</w:t>
            </w:r>
            <w:r>
              <w:rPr>
                <w:rFonts w:hint="eastAsia" w:ascii="宋体" w:hAnsi="宋体"/>
                <w:color w:val="auto"/>
                <w:sz w:val="18"/>
                <w:szCs w:val="18"/>
              </w:rPr>
              <w:t>，得</w:t>
            </w:r>
            <w:r>
              <w:rPr>
                <w:rFonts w:hint="eastAsia" w:ascii="宋体" w:hAnsi="宋体"/>
                <w:color w:val="auto"/>
                <w:sz w:val="18"/>
                <w:szCs w:val="18"/>
                <w:lang w:val="en-US" w:eastAsia="zh-CN"/>
              </w:rPr>
              <w:t>1</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ascii="宋体" w:hAnsi="宋体"/>
                <w:color w:val="auto"/>
                <w:sz w:val="18"/>
                <w:szCs w:val="18"/>
              </w:rPr>
            </w:pPr>
            <w:r>
              <w:rPr>
                <w:rFonts w:hint="eastAsia" w:ascii="宋体" w:hAnsi="宋体"/>
                <w:color w:val="auto"/>
                <w:sz w:val="18"/>
                <w:szCs w:val="18"/>
              </w:rPr>
              <w:t>碳普惠</w:t>
            </w:r>
          </w:p>
        </w:tc>
        <w:tc>
          <w:tcPr>
            <w:tcW w:w="6056" w:type="dxa"/>
            <w:vAlign w:val="center"/>
          </w:tcPr>
          <w:p>
            <w:pPr>
              <w:widowControl/>
              <w:spacing w:line="240" w:lineRule="auto"/>
              <w:jc w:val="left"/>
              <w:textAlignment w:val="center"/>
              <w:rPr>
                <w:rFonts w:ascii="宋体" w:hAnsi="宋体"/>
                <w:color w:val="auto"/>
                <w:sz w:val="18"/>
                <w:szCs w:val="18"/>
              </w:rPr>
            </w:pPr>
            <w:r>
              <w:rPr>
                <w:rFonts w:hint="eastAsia" w:ascii="宋体" w:hAnsi="宋体"/>
                <w:color w:val="auto"/>
                <w:sz w:val="18"/>
                <w:szCs w:val="18"/>
              </w:rPr>
              <w:t>企业通过提供</w:t>
            </w:r>
            <w:r>
              <w:rPr>
                <w:rFonts w:hint="eastAsia" w:ascii="宋体" w:hAnsi="宋体"/>
                <w:color w:val="auto"/>
                <w:sz w:val="18"/>
                <w:szCs w:val="18"/>
                <w:lang w:val="en-US" w:eastAsia="zh-CN"/>
              </w:rPr>
              <w:t>指导、</w:t>
            </w:r>
            <w:r>
              <w:rPr>
                <w:rFonts w:hint="eastAsia" w:ascii="宋体" w:hAnsi="宋体"/>
                <w:color w:val="auto"/>
                <w:sz w:val="18"/>
                <w:szCs w:val="18"/>
              </w:rPr>
              <w:t>培训、制定激励计划等方式</w:t>
            </w:r>
            <w:r>
              <w:rPr>
                <w:rFonts w:hint="eastAsia" w:ascii="宋体" w:hAnsi="宋体"/>
                <w:color w:val="auto"/>
                <w:sz w:val="18"/>
                <w:szCs w:val="18"/>
                <w:lang w:val="en-US" w:eastAsia="zh-CN"/>
              </w:rPr>
              <w:t>帮助</w:t>
            </w:r>
            <w:r>
              <w:rPr>
                <w:rFonts w:hint="eastAsia" w:ascii="宋体" w:hAnsi="宋体"/>
                <w:color w:val="auto"/>
                <w:sz w:val="18"/>
                <w:szCs w:val="18"/>
              </w:rPr>
              <w:t>供应链上下游企业、合作伙伴、客户等</w:t>
            </w:r>
            <w:r>
              <w:rPr>
                <w:rFonts w:hint="eastAsia" w:ascii="宋体" w:hAnsi="宋体"/>
                <w:color w:val="auto"/>
                <w:sz w:val="18"/>
                <w:szCs w:val="18"/>
                <w:lang w:val="en-US" w:eastAsia="zh-CN"/>
              </w:rPr>
              <w:t>践行绿色低碳活动、</w:t>
            </w:r>
            <w:r>
              <w:rPr>
                <w:rFonts w:hint="eastAsia" w:ascii="宋体" w:hAnsi="宋体"/>
                <w:color w:val="auto"/>
                <w:sz w:val="18"/>
                <w:szCs w:val="18"/>
              </w:rPr>
              <w:t>强化绿色低碳意识，得</w:t>
            </w:r>
            <w:r>
              <w:rPr>
                <w:rFonts w:hint="eastAsia" w:ascii="宋体" w:hAnsi="宋体"/>
                <w:color w:val="auto"/>
                <w:sz w:val="18"/>
                <w:szCs w:val="18"/>
                <w:lang w:val="en-US" w:eastAsia="zh-CN"/>
              </w:rPr>
              <w:t>1</w:t>
            </w:r>
            <w:r>
              <w:rPr>
                <w:rFonts w:hint="eastAsia" w:ascii="宋体" w:hAnsi="宋体"/>
                <w:color w:val="auto"/>
                <w:sz w:val="18"/>
                <w:szCs w:val="18"/>
              </w:rPr>
              <w:t>分。</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tcPr>
          <w:p>
            <w:pPr>
              <w:pStyle w:val="57"/>
              <w:ind w:firstLine="0" w:firstLineChars="0"/>
              <w:rPr>
                <w:color w:val="auto"/>
              </w:rPr>
            </w:pPr>
          </w:p>
        </w:tc>
        <w:tc>
          <w:tcPr>
            <w:tcW w:w="966" w:type="dxa"/>
            <w:vMerge w:val="continue"/>
          </w:tcPr>
          <w:p>
            <w:pPr>
              <w:pStyle w:val="57"/>
              <w:ind w:firstLine="0" w:firstLineChars="0"/>
              <w:rPr>
                <w:color w:val="auto"/>
              </w:rPr>
            </w:pPr>
          </w:p>
        </w:tc>
        <w:tc>
          <w:tcPr>
            <w:tcW w:w="1511" w:type="dxa"/>
            <w:vAlign w:val="center"/>
          </w:tcPr>
          <w:p>
            <w:pPr>
              <w:widowControl/>
              <w:spacing w:line="240" w:lineRule="auto"/>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社会合作</w:t>
            </w:r>
          </w:p>
        </w:tc>
        <w:tc>
          <w:tcPr>
            <w:tcW w:w="6056" w:type="dxa"/>
            <w:vAlign w:val="center"/>
          </w:tcPr>
          <w:p>
            <w:pPr>
              <w:pStyle w:val="2"/>
              <w:spacing w:line="240" w:lineRule="auto"/>
              <w:ind w:firstLine="0"/>
              <w:textAlignment w:val="center"/>
              <w:rPr>
                <w:rFonts w:ascii="宋体" w:hAnsi="宋体"/>
                <w:color w:val="auto"/>
                <w:sz w:val="18"/>
                <w:szCs w:val="18"/>
              </w:rPr>
            </w:pPr>
            <w:r>
              <w:rPr>
                <w:rFonts w:hint="eastAsia" w:ascii="宋体" w:hAnsi="宋体"/>
                <w:color w:val="auto"/>
                <w:sz w:val="18"/>
                <w:szCs w:val="18"/>
              </w:rPr>
              <w:t>企业与政府、企业、机构、院校等开展了标准编制、课题研究、行业倡议等绿色低碳领域的</w:t>
            </w:r>
            <w:r>
              <w:rPr>
                <w:rFonts w:hint="eastAsia" w:ascii="宋体" w:hAnsi="宋体"/>
                <w:color w:val="auto"/>
                <w:sz w:val="18"/>
                <w:szCs w:val="18"/>
                <w:lang w:val="en-US" w:eastAsia="zh-CN"/>
              </w:rPr>
              <w:t>社会</w:t>
            </w:r>
            <w:r>
              <w:rPr>
                <w:rFonts w:hint="eastAsia" w:ascii="宋体" w:hAnsi="宋体"/>
                <w:color w:val="auto"/>
                <w:sz w:val="18"/>
                <w:szCs w:val="18"/>
              </w:rPr>
              <w:t>合作，得</w:t>
            </w:r>
            <w:r>
              <w:rPr>
                <w:rFonts w:hint="eastAsia" w:ascii="宋体" w:hAnsi="宋体"/>
                <w:color w:val="auto"/>
                <w:sz w:val="18"/>
                <w:szCs w:val="18"/>
                <w:lang w:val="en-US" w:eastAsia="zh-CN"/>
              </w:rPr>
              <w:t>2</w:t>
            </w:r>
            <w:r>
              <w:rPr>
                <w:rFonts w:hint="eastAsia" w:ascii="宋体" w:hAnsi="宋体"/>
                <w:color w:val="auto"/>
                <w:sz w:val="18"/>
                <w:szCs w:val="18"/>
              </w:rPr>
              <w:t>分</w:t>
            </w:r>
            <w:r>
              <w:rPr>
                <w:rFonts w:hint="eastAsia" w:ascii="宋体" w:hAnsi="宋体"/>
                <w:color w:val="auto"/>
                <w:sz w:val="18"/>
                <w:szCs w:val="18"/>
                <w:lang w:eastAsia="zh-CN"/>
              </w:rPr>
              <w:t>。</w:t>
            </w:r>
          </w:p>
        </w:tc>
        <w:tc>
          <w:tcPr>
            <w:tcW w:w="617" w:type="dxa"/>
            <w:vAlign w:val="center"/>
          </w:tcPr>
          <w:p>
            <w:pPr>
              <w:widowControl/>
              <w:spacing w:line="240" w:lineRule="auto"/>
              <w:jc w:val="center"/>
              <w:textAlignment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r>
      <w:bookmarkEnd w:id="57"/>
      <w:bookmarkEnd w:id="58"/>
    </w:tbl>
    <w:p>
      <w:pPr>
        <w:pStyle w:val="64"/>
        <w:spacing w:before="96" w:after="120"/>
        <w:rPr>
          <w:rFonts w:hint="eastAsia"/>
          <w:color w:val="auto"/>
          <w:spacing w:val="105"/>
        </w:rPr>
      </w:pPr>
      <w:bookmarkStart w:id="60" w:name="_Toc142557018"/>
      <w:bookmarkStart w:id="61" w:name="BookMark8"/>
    </w:p>
    <w:p>
      <w:pPr>
        <w:pStyle w:val="64"/>
        <w:spacing w:before="96" w:after="120"/>
        <w:rPr>
          <w:rFonts w:hint="eastAsia"/>
          <w:color w:val="auto"/>
          <w:spacing w:val="105"/>
        </w:rPr>
      </w:pPr>
    </w:p>
    <w:p>
      <w:pPr>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pStyle w:val="2"/>
        <w:rPr>
          <w:rFonts w:hint="eastAsia"/>
          <w:color w:val="auto"/>
          <w:spacing w:val="105"/>
        </w:rPr>
      </w:pPr>
    </w:p>
    <w:p>
      <w:pPr>
        <w:rPr>
          <w:rFonts w:hint="eastAsia"/>
          <w:color w:val="auto"/>
          <w:spacing w:val="105"/>
        </w:rPr>
      </w:pPr>
      <w:r>
        <w:rPr>
          <w:rFonts w:hint="eastAsia"/>
          <w:color w:val="auto"/>
          <w:spacing w:val="105"/>
        </w:rPr>
        <w:br w:type="page"/>
      </w:r>
    </w:p>
    <w:p>
      <w:pPr>
        <w:pStyle w:val="64"/>
        <w:keepNext/>
        <w:keepLines w:val="0"/>
        <w:pageBreakBefore w:val="0"/>
        <w:widowControl/>
        <w:kinsoku/>
        <w:wordWrap/>
        <w:overflowPunct/>
        <w:topLinePunct w:val="0"/>
        <w:autoSpaceDE/>
        <w:autoSpaceDN/>
        <w:bidi w:val="0"/>
        <w:adjustRightInd/>
        <w:snapToGrid/>
        <w:spacing w:before="96" w:after="120"/>
        <w:textAlignment w:val="auto"/>
        <w:rPr>
          <w:color w:val="auto"/>
        </w:rPr>
      </w:pPr>
      <w:r>
        <w:rPr>
          <w:rFonts w:hint="eastAsia"/>
          <w:color w:val="auto"/>
          <w:spacing w:val="105"/>
        </w:rPr>
        <w:t>参考文</w:t>
      </w:r>
      <w:r>
        <w:rPr>
          <w:rFonts w:hint="eastAsia"/>
          <w:color w:val="auto"/>
        </w:rPr>
        <w:t>献</w:t>
      </w:r>
      <w:bookmarkEnd w:id="60"/>
    </w:p>
    <w:p>
      <w:pPr>
        <w:spacing w:line="240" w:lineRule="auto"/>
        <w:ind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1</w:t>
      </w:r>
      <w:r>
        <w:rPr>
          <w:rFonts w:hint="eastAsia" w:ascii="宋体" w:hAnsi="宋体"/>
          <w:color w:val="auto"/>
        </w:rPr>
        <w:t>]</w:t>
      </w:r>
      <w:r>
        <w:rPr>
          <w:rFonts w:ascii="宋体" w:hAnsi="宋体"/>
          <w:color w:val="auto"/>
        </w:rPr>
        <w:t xml:space="preserve">  </w:t>
      </w:r>
      <w:r>
        <w:rPr>
          <w:rFonts w:hint="eastAsia" w:ascii="宋体" w:hAnsi="宋体"/>
          <w:color w:val="auto"/>
        </w:rPr>
        <w:t>陆上交通运输企业温室气体排放核算方法与报告指南，国家发展和改革委员会办公厅</w:t>
      </w:r>
    </w:p>
    <w:p>
      <w:pPr>
        <w:spacing w:line="240" w:lineRule="auto"/>
        <w:ind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  JT/T 1248—2019  营运货车能效和二氧化碳排放强度等级及评定方法</w:t>
      </w:r>
    </w:p>
    <w:p>
      <w:pPr>
        <w:spacing w:line="240" w:lineRule="auto"/>
        <w:ind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  DB44/T 1944—2014  碳排放管理体系 要求及使用指南</w:t>
      </w:r>
    </w:p>
    <w:p>
      <w:pPr>
        <w:spacing w:line="240" w:lineRule="auto"/>
        <w:ind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4</w:t>
      </w:r>
      <w:r>
        <w:rPr>
          <w:rFonts w:hint="eastAsia" w:ascii="宋体" w:hAnsi="宋体"/>
          <w:color w:val="auto"/>
        </w:rPr>
        <w:t>]</w:t>
      </w:r>
      <w:r>
        <w:rPr>
          <w:rFonts w:ascii="宋体" w:hAnsi="宋体"/>
          <w:color w:val="auto"/>
        </w:rPr>
        <w:t xml:space="preserve">  </w:t>
      </w:r>
      <w:r>
        <w:rPr>
          <w:rFonts w:hint="eastAsia" w:ascii="宋体" w:hAnsi="宋体"/>
          <w:color w:val="auto"/>
        </w:rPr>
        <w:t>PAS2050：2011</w:t>
      </w:r>
      <w:r>
        <w:rPr>
          <w:rFonts w:ascii="宋体" w:hAnsi="宋体"/>
          <w:color w:val="auto"/>
        </w:rPr>
        <w:t xml:space="preserve">  </w:t>
      </w:r>
      <w:r>
        <w:rPr>
          <w:rFonts w:hint="eastAsia" w:ascii="宋体" w:hAnsi="宋体"/>
          <w:color w:val="auto"/>
        </w:rPr>
        <w:t>产品与服务生命周期温室气体排放的评价规范，英国标准协会（BSI）</w:t>
      </w:r>
    </w:p>
    <w:p>
      <w:pPr>
        <w:spacing w:line="240" w:lineRule="auto"/>
        <w:ind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5</w:t>
      </w:r>
      <w:r>
        <w:rPr>
          <w:rFonts w:hint="eastAsia" w:ascii="宋体" w:hAnsi="宋体"/>
          <w:color w:val="auto"/>
        </w:rPr>
        <w:t>]</w:t>
      </w:r>
      <w:r>
        <w:rPr>
          <w:rFonts w:ascii="宋体" w:hAnsi="宋体"/>
          <w:color w:val="auto"/>
        </w:rPr>
        <w:t xml:space="preserve">  </w:t>
      </w:r>
      <w:r>
        <w:rPr>
          <w:rFonts w:hint="eastAsia" w:ascii="宋体" w:hAnsi="宋体"/>
          <w:color w:val="auto"/>
        </w:rPr>
        <w:t>ISO 14083  核算和汇报来自运输链运营过程中的温室气体排放</w:t>
      </w:r>
    </w:p>
    <w:p>
      <w:pPr>
        <w:spacing w:line="240" w:lineRule="auto"/>
        <w:ind w:firstLine="420" w:firstLineChars="200"/>
        <w:rPr>
          <w:color w:val="auto"/>
        </w:rPr>
      </w:pPr>
      <w:r>
        <w:rPr>
          <w:rFonts w:ascii="宋体" w:hAnsi="宋体"/>
          <w:color w:val="auto"/>
        </w:rPr>
        <w:t>[</w:t>
      </w:r>
      <w:r>
        <w:rPr>
          <w:rFonts w:hint="eastAsia" w:ascii="宋体" w:hAnsi="宋体"/>
          <w:color w:val="auto"/>
          <w:lang w:val="en-US" w:eastAsia="zh-CN"/>
        </w:rPr>
        <w:t>6</w:t>
      </w:r>
      <w:r>
        <w:rPr>
          <w:rFonts w:ascii="宋体" w:hAnsi="宋体"/>
          <w:color w:val="auto"/>
        </w:rPr>
        <w:t>]</w:t>
      </w:r>
      <w:r>
        <w:rPr>
          <w:rFonts w:hint="eastAsia" w:ascii="宋体" w:hAnsi="宋体"/>
          <w:color w:val="auto"/>
        </w:rPr>
        <w:t xml:space="preserve">  ISO 14064-1  温室气体 第一版 组织层次上对温室气体排放和清除的量化和报告的规范及指南</w:t>
      </w:r>
    </w:p>
    <w:p>
      <w:pPr>
        <w:spacing w:line="240" w:lineRule="auto"/>
        <w:ind w:firstLine="420" w:firstLineChars="200"/>
        <w:rPr>
          <w:rFonts w:ascii="宋体" w:hAnsi="宋体"/>
          <w:color w:val="auto"/>
        </w:rPr>
      </w:pPr>
      <w:r>
        <w:rPr>
          <w:rFonts w:ascii="宋体" w:hAnsi="宋体"/>
          <w:color w:val="auto"/>
        </w:rPr>
        <w:t>[</w:t>
      </w:r>
      <w:r>
        <w:rPr>
          <w:rFonts w:hint="eastAsia" w:ascii="宋体" w:hAnsi="宋体"/>
          <w:color w:val="auto"/>
          <w:lang w:val="en-US" w:eastAsia="zh-CN"/>
        </w:rPr>
        <w:t>7</w:t>
      </w:r>
      <w:r>
        <w:rPr>
          <w:rFonts w:ascii="宋体" w:hAnsi="宋体"/>
          <w:color w:val="auto"/>
        </w:rPr>
        <w:t>]</w:t>
      </w:r>
      <w:r>
        <w:rPr>
          <w:rFonts w:hint="eastAsia" w:ascii="宋体" w:hAnsi="宋体"/>
          <w:color w:val="auto"/>
        </w:rPr>
        <w:t xml:space="preserve">  ISO 14064-2  温室气体 第二版 项目层次上对温室气体减排和清除增加的量化、监测和报告的规范及指南</w:t>
      </w:r>
    </w:p>
    <w:p>
      <w:pPr>
        <w:spacing w:line="240" w:lineRule="auto"/>
        <w:ind w:firstLine="420" w:firstLineChars="200"/>
        <w:rPr>
          <w:rFonts w:ascii="宋体" w:hAnsi="Times New Roman"/>
          <w:color w:val="auto"/>
          <w:kern w:val="0"/>
          <w:szCs w:val="20"/>
        </w:rPr>
      </w:pPr>
      <w:r>
        <w:rPr>
          <w:rFonts w:hint="eastAsia" w:ascii="宋体" w:hAnsi="宋体"/>
          <w:color w:val="auto"/>
        </w:rPr>
        <w:t>[</w:t>
      </w:r>
      <w:r>
        <w:rPr>
          <w:rFonts w:hint="eastAsia" w:ascii="宋体" w:hAnsi="宋体"/>
          <w:color w:val="auto"/>
          <w:lang w:val="en-US" w:eastAsia="zh-CN"/>
        </w:rPr>
        <w:t>8</w:t>
      </w:r>
      <w:r>
        <w:rPr>
          <w:rFonts w:hint="eastAsia" w:ascii="宋体" w:hAnsi="宋体"/>
          <w:color w:val="auto"/>
        </w:rPr>
        <w:t>]  ISO 14067—2018  温室气体 产品碳足迹 量化要求和指南</w:t>
      </w:r>
    </w:p>
    <w:p>
      <w:pPr>
        <w:ind w:firstLine="420" w:firstLineChars="200"/>
        <w:rPr>
          <w:color w:val="auto"/>
        </w:rPr>
      </w:pPr>
    </w:p>
    <w:p>
      <w:pPr>
        <w:pStyle w:val="57"/>
        <w:ind w:firstLine="0" w:firstLineChars="0"/>
        <w:jc w:val="center"/>
        <w:rPr>
          <w:color w:val="auto"/>
        </w:rPr>
      </w:pPr>
      <w:r>
        <w:rPr>
          <w:color w:val="auto"/>
        </w:rPr>
        <w:drawing>
          <wp:inline distT="0" distB="0" distL="0" distR="0">
            <wp:extent cx="1485900" cy="31750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4" cstate="print"/>
                    <a:stretch>
                      <a:fillRect/>
                    </a:stretch>
                  </pic:blipFill>
                  <pic:spPr>
                    <a:xfrm>
                      <a:off x="0" y="0"/>
                      <a:ext cx="1485900" cy="317500"/>
                    </a:xfrm>
                    <a:prstGeom prst="rect">
                      <a:avLst/>
                    </a:prstGeom>
                  </pic:spPr>
                </pic:pic>
              </a:graphicData>
            </a:graphic>
          </wp:inline>
        </w:drawing>
      </w:r>
      <w:bookmarkEnd w:id="61"/>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63" w:firstLine="363"/>
      </w:pPr>
      <w:rPr>
        <w:rFonts w:hint="eastAsia" w:ascii="黑体" w:eastAsia="黑体"/>
        <w:b w:val="0"/>
        <w:i w:val="0"/>
        <w:sz w:val="18"/>
        <w:lang w:val="en-US"/>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1843"/>
        </w:tabs>
        <w:ind w:left="-1843"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851"/>
        </w:tabs>
        <w:ind w:left="-851" w:hanging="708"/>
      </w:pPr>
    </w:lvl>
    <w:lvl w:ilvl="4" w:tentative="0">
      <w:start w:val="1"/>
      <w:numFmt w:val="decimal"/>
      <w:lvlText w:val="%1.%2.%3.%4.%5"/>
      <w:lvlJc w:val="left"/>
      <w:pPr>
        <w:tabs>
          <w:tab w:val="left" w:pos="-284"/>
        </w:tabs>
        <w:ind w:left="-284" w:hanging="850"/>
      </w:pPr>
    </w:lvl>
    <w:lvl w:ilvl="5" w:tentative="0">
      <w:start w:val="1"/>
      <w:numFmt w:val="decimal"/>
      <w:lvlText w:val="%1.%2.%3.%4.%5.%6"/>
      <w:lvlJc w:val="left"/>
      <w:pPr>
        <w:tabs>
          <w:tab w:val="left" w:pos="425"/>
        </w:tabs>
        <w:ind w:left="425" w:hanging="1134"/>
      </w:pPr>
    </w:lvl>
    <w:lvl w:ilvl="6" w:tentative="0">
      <w:start w:val="1"/>
      <w:numFmt w:val="decimal"/>
      <w:lvlText w:val="%1.%2.%3.%4.%5.%6.%7"/>
      <w:lvlJc w:val="left"/>
      <w:pPr>
        <w:tabs>
          <w:tab w:val="left" w:pos="992"/>
        </w:tabs>
        <w:ind w:left="992" w:hanging="1276"/>
      </w:pPr>
    </w:lvl>
    <w:lvl w:ilvl="7" w:tentative="0">
      <w:start w:val="1"/>
      <w:numFmt w:val="decimal"/>
      <w:lvlText w:val="%1.%2.%3.%4.%5.%6.%7.%8"/>
      <w:lvlJc w:val="left"/>
      <w:pPr>
        <w:tabs>
          <w:tab w:val="left" w:pos="1559"/>
        </w:tabs>
        <w:ind w:left="1559" w:hanging="1418"/>
      </w:pPr>
    </w:lvl>
    <w:lvl w:ilvl="8" w:tentative="0">
      <w:start w:val="1"/>
      <w:numFmt w:val="decimal"/>
      <w:lvlText w:val="%1.%2.%3.%4.%5.%6.%7.%8.%9"/>
      <w:lvlJc w:val="left"/>
      <w:pPr>
        <w:tabs>
          <w:tab w:val="left" w:pos="2267"/>
        </w:tabs>
        <w:ind w:left="2267"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yMDAxNGM1NzMxMTNmMzUyYzNmNzE3NWFjY2IwYzEifQ=="/>
  </w:docVars>
  <w:rsids>
    <w:rsidRoot w:val="00835F35"/>
    <w:rsid w:val="0000040A"/>
    <w:rsid w:val="00000A94"/>
    <w:rsid w:val="00001972"/>
    <w:rsid w:val="00001D9A"/>
    <w:rsid w:val="00007B3A"/>
    <w:rsid w:val="000107E0"/>
    <w:rsid w:val="0001195C"/>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0A8"/>
    <w:rsid w:val="00043282"/>
    <w:rsid w:val="00044286"/>
    <w:rsid w:val="00047F28"/>
    <w:rsid w:val="000503AA"/>
    <w:rsid w:val="000506A1"/>
    <w:rsid w:val="000515DD"/>
    <w:rsid w:val="00051AB5"/>
    <w:rsid w:val="0005265A"/>
    <w:rsid w:val="000539DD"/>
    <w:rsid w:val="00053BD3"/>
    <w:rsid w:val="000556ED"/>
    <w:rsid w:val="00055FE2"/>
    <w:rsid w:val="0005616F"/>
    <w:rsid w:val="00060C2E"/>
    <w:rsid w:val="00061033"/>
    <w:rsid w:val="000619E9"/>
    <w:rsid w:val="0006213A"/>
    <w:rsid w:val="000622D4"/>
    <w:rsid w:val="0006357D"/>
    <w:rsid w:val="00063750"/>
    <w:rsid w:val="00066B7E"/>
    <w:rsid w:val="00067F1E"/>
    <w:rsid w:val="00071CC0"/>
    <w:rsid w:val="00071CFC"/>
    <w:rsid w:val="00073C8C"/>
    <w:rsid w:val="0007513C"/>
    <w:rsid w:val="00077B64"/>
    <w:rsid w:val="00080A1C"/>
    <w:rsid w:val="00080E0D"/>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631"/>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8A8"/>
    <w:rsid w:val="000E2C69"/>
    <w:rsid w:val="000E4B24"/>
    <w:rsid w:val="000E4C9E"/>
    <w:rsid w:val="000E6FD7"/>
    <w:rsid w:val="000F06E1"/>
    <w:rsid w:val="000F0C8D"/>
    <w:rsid w:val="000F0E3C"/>
    <w:rsid w:val="000F19D5"/>
    <w:rsid w:val="000F4050"/>
    <w:rsid w:val="000F4AEA"/>
    <w:rsid w:val="000F67E9"/>
    <w:rsid w:val="00104926"/>
    <w:rsid w:val="001072F6"/>
    <w:rsid w:val="001113DA"/>
    <w:rsid w:val="00113B1E"/>
    <w:rsid w:val="0011711C"/>
    <w:rsid w:val="00124E4F"/>
    <w:rsid w:val="001260B7"/>
    <w:rsid w:val="001265CB"/>
    <w:rsid w:val="00127B13"/>
    <w:rsid w:val="0013201A"/>
    <w:rsid w:val="001321C6"/>
    <w:rsid w:val="001325C4"/>
    <w:rsid w:val="00133010"/>
    <w:rsid w:val="001338EE"/>
    <w:rsid w:val="00133AAE"/>
    <w:rsid w:val="00135077"/>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CEB"/>
    <w:rsid w:val="001642FA"/>
    <w:rsid w:val="0016473E"/>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DCC"/>
    <w:rsid w:val="00181FFB"/>
    <w:rsid w:val="001852C9"/>
    <w:rsid w:val="00187A0B"/>
    <w:rsid w:val="00190087"/>
    <w:rsid w:val="001913C4"/>
    <w:rsid w:val="0019348F"/>
    <w:rsid w:val="00193A07"/>
    <w:rsid w:val="00194142"/>
    <w:rsid w:val="00194C95"/>
    <w:rsid w:val="00195C34"/>
    <w:rsid w:val="001962A0"/>
    <w:rsid w:val="00196EF5"/>
    <w:rsid w:val="001A1A53"/>
    <w:rsid w:val="001A234A"/>
    <w:rsid w:val="001A4CF3"/>
    <w:rsid w:val="001A6696"/>
    <w:rsid w:val="001A7384"/>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46F"/>
    <w:rsid w:val="00210B15"/>
    <w:rsid w:val="00214117"/>
    <w:rsid w:val="002142EA"/>
    <w:rsid w:val="00215ADD"/>
    <w:rsid w:val="0021727E"/>
    <w:rsid w:val="0021776E"/>
    <w:rsid w:val="002204BB"/>
    <w:rsid w:val="00221B79"/>
    <w:rsid w:val="00221C6B"/>
    <w:rsid w:val="002252B4"/>
    <w:rsid w:val="002253A1"/>
    <w:rsid w:val="00225CF8"/>
    <w:rsid w:val="0022794E"/>
    <w:rsid w:val="00233D64"/>
    <w:rsid w:val="0023419E"/>
    <w:rsid w:val="0023482A"/>
    <w:rsid w:val="002359CB"/>
    <w:rsid w:val="002429CA"/>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695"/>
    <w:rsid w:val="00285170"/>
    <w:rsid w:val="00285361"/>
    <w:rsid w:val="002856DF"/>
    <w:rsid w:val="00292D60"/>
    <w:rsid w:val="0029397B"/>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A6E"/>
    <w:rsid w:val="002A7F44"/>
    <w:rsid w:val="002B09FE"/>
    <w:rsid w:val="002B0C40"/>
    <w:rsid w:val="002B1966"/>
    <w:rsid w:val="002B4508"/>
    <w:rsid w:val="002B5779"/>
    <w:rsid w:val="002B7332"/>
    <w:rsid w:val="002B7F51"/>
    <w:rsid w:val="002C09E7"/>
    <w:rsid w:val="002C1E06"/>
    <w:rsid w:val="002C1F2F"/>
    <w:rsid w:val="002C3F07"/>
    <w:rsid w:val="002C4849"/>
    <w:rsid w:val="002C5278"/>
    <w:rsid w:val="002C7EBB"/>
    <w:rsid w:val="002D06C1"/>
    <w:rsid w:val="002D323F"/>
    <w:rsid w:val="002D42B5"/>
    <w:rsid w:val="002D4F1A"/>
    <w:rsid w:val="002D6EC6"/>
    <w:rsid w:val="002D79AC"/>
    <w:rsid w:val="002E039D"/>
    <w:rsid w:val="002E4796"/>
    <w:rsid w:val="002E4D5A"/>
    <w:rsid w:val="002E6326"/>
    <w:rsid w:val="002F1099"/>
    <w:rsid w:val="002F30E0"/>
    <w:rsid w:val="002F35E4"/>
    <w:rsid w:val="002F3730"/>
    <w:rsid w:val="002F38E1"/>
    <w:rsid w:val="002F630E"/>
    <w:rsid w:val="002F7AF6"/>
    <w:rsid w:val="00300E63"/>
    <w:rsid w:val="00302F5F"/>
    <w:rsid w:val="0030441D"/>
    <w:rsid w:val="00306063"/>
    <w:rsid w:val="00313B85"/>
    <w:rsid w:val="0031691B"/>
    <w:rsid w:val="00317988"/>
    <w:rsid w:val="003221B4"/>
    <w:rsid w:val="0032258D"/>
    <w:rsid w:val="00322E62"/>
    <w:rsid w:val="00324D13"/>
    <w:rsid w:val="00324EDD"/>
    <w:rsid w:val="003331E4"/>
    <w:rsid w:val="00336C64"/>
    <w:rsid w:val="00337162"/>
    <w:rsid w:val="00337B54"/>
    <w:rsid w:val="0034194F"/>
    <w:rsid w:val="00344605"/>
    <w:rsid w:val="003474AA"/>
    <w:rsid w:val="00350D1D"/>
    <w:rsid w:val="00352C83"/>
    <w:rsid w:val="00352F1A"/>
    <w:rsid w:val="0036107C"/>
    <w:rsid w:val="003615D2"/>
    <w:rsid w:val="0036429C"/>
    <w:rsid w:val="00364A53"/>
    <w:rsid w:val="0036549D"/>
    <w:rsid w:val="003654CB"/>
    <w:rsid w:val="00365AA9"/>
    <w:rsid w:val="00365F86"/>
    <w:rsid w:val="00365F87"/>
    <w:rsid w:val="00366E89"/>
    <w:rsid w:val="003676D1"/>
    <w:rsid w:val="003705F4"/>
    <w:rsid w:val="00370D58"/>
    <w:rsid w:val="00371316"/>
    <w:rsid w:val="00373D8D"/>
    <w:rsid w:val="00376713"/>
    <w:rsid w:val="00381815"/>
    <w:rsid w:val="003819AF"/>
    <w:rsid w:val="003820E9"/>
    <w:rsid w:val="00382DE7"/>
    <w:rsid w:val="00383955"/>
    <w:rsid w:val="00384FFC"/>
    <w:rsid w:val="00386BEF"/>
    <w:rsid w:val="003872FC"/>
    <w:rsid w:val="00387ADC"/>
    <w:rsid w:val="00390020"/>
    <w:rsid w:val="003903D6"/>
    <w:rsid w:val="00390EE6"/>
    <w:rsid w:val="0039118F"/>
    <w:rsid w:val="00392AD7"/>
    <w:rsid w:val="003938D9"/>
    <w:rsid w:val="00394376"/>
    <w:rsid w:val="003943FF"/>
    <w:rsid w:val="00394454"/>
    <w:rsid w:val="003974EB"/>
    <w:rsid w:val="00397CC5"/>
    <w:rsid w:val="003A1582"/>
    <w:rsid w:val="003A3D9C"/>
    <w:rsid w:val="003A4077"/>
    <w:rsid w:val="003A4AA7"/>
    <w:rsid w:val="003B09AD"/>
    <w:rsid w:val="003B1F18"/>
    <w:rsid w:val="003B31EF"/>
    <w:rsid w:val="003B5BF0"/>
    <w:rsid w:val="003B60BF"/>
    <w:rsid w:val="003B6BE3"/>
    <w:rsid w:val="003C010C"/>
    <w:rsid w:val="003C04D0"/>
    <w:rsid w:val="003C0A6C"/>
    <w:rsid w:val="003C14F8"/>
    <w:rsid w:val="003C5A43"/>
    <w:rsid w:val="003C7C58"/>
    <w:rsid w:val="003D0519"/>
    <w:rsid w:val="003D0FF6"/>
    <w:rsid w:val="003D11F8"/>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16D7"/>
    <w:rsid w:val="00432DAA"/>
    <w:rsid w:val="00433918"/>
    <w:rsid w:val="00434305"/>
    <w:rsid w:val="00435DF7"/>
    <w:rsid w:val="0044083F"/>
    <w:rsid w:val="00441AE7"/>
    <w:rsid w:val="00445574"/>
    <w:rsid w:val="004467FB"/>
    <w:rsid w:val="00447AA9"/>
    <w:rsid w:val="00452D6B"/>
    <w:rsid w:val="00454484"/>
    <w:rsid w:val="0045517B"/>
    <w:rsid w:val="0046210E"/>
    <w:rsid w:val="00463B77"/>
    <w:rsid w:val="00463C7B"/>
    <w:rsid w:val="00464116"/>
    <w:rsid w:val="004644A6"/>
    <w:rsid w:val="004659BD"/>
    <w:rsid w:val="00466ECD"/>
    <w:rsid w:val="00470775"/>
    <w:rsid w:val="004746B1"/>
    <w:rsid w:val="0047583F"/>
    <w:rsid w:val="00475DE8"/>
    <w:rsid w:val="00481C44"/>
    <w:rsid w:val="004833F8"/>
    <w:rsid w:val="00484936"/>
    <w:rsid w:val="004851E8"/>
    <w:rsid w:val="00485C89"/>
    <w:rsid w:val="00486BE3"/>
    <w:rsid w:val="004905E4"/>
    <w:rsid w:val="00490A89"/>
    <w:rsid w:val="00490AB4"/>
    <w:rsid w:val="00492F02"/>
    <w:rsid w:val="004939AE"/>
    <w:rsid w:val="004A12DF"/>
    <w:rsid w:val="004A1BA8"/>
    <w:rsid w:val="004A36CE"/>
    <w:rsid w:val="004A4B57"/>
    <w:rsid w:val="004A4C63"/>
    <w:rsid w:val="004A63FA"/>
    <w:rsid w:val="004A694C"/>
    <w:rsid w:val="004A6A3D"/>
    <w:rsid w:val="004B0272"/>
    <w:rsid w:val="004B2701"/>
    <w:rsid w:val="004B2E1B"/>
    <w:rsid w:val="004B3AA8"/>
    <w:rsid w:val="004B3E93"/>
    <w:rsid w:val="004B4CA0"/>
    <w:rsid w:val="004C1FBC"/>
    <w:rsid w:val="004C25A2"/>
    <w:rsid w:val="004C3F1D"/>
    <w:rsid w:val="004C458D"/>
    <w:rsid w:val="004C7556"/>
    <w:rsid w:val="004C7E8B"/>
    <w:rsid w:val="004C7E9D"/>
    <w:rsid w:val="004C7F67"/>
    <w:rsid w:val="004D0449"/>
    <w:rsid w:val="004D076D"/>
    <w:rsid w:val="004D0EF1"/>
    <w:rsid w:val="004D2253"/>
    <w:rsid w:val="004D4406"/>
    <w:rsid w:val="004D7C42"/>
    <w:rsid w:val="004E0465"/>
    <w:rsid w:val="004E0846"/>
    <w:rsid w:val="004E127B"/>
    <w:rsid w:val="004E1C0A"/>
    <w:rsid w:val="004E30C5"/>
    <w:rsid w:val="004E4AA5"/>
    <w:rsid w:val="004E4AEE"/>
    <w:rsid w:val="004E59E3"/>
    <w:rsid w:val="004E67C0"/>
    <w:rsid w:val="004F391A"/>
    <w:rsid w:val="004F3CFB"/>
    <w:rsid w:val="004F6456"/>
    <w:rsid w:val="004F696E"/>
    <w:rsid w:val="004F6C71"/>
    <w:rsid w:val="004F77BD"/>
    <w:rsid w:val="00500248"/>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666"/>
    <w:rsid w:val="00523F95"/>
    <w:rsid w:val="00524D65"/>
    <w:rsid w:val="00525B16"/>
    <w:rsid w:val="00533D04"/>
    <w:rsid w:val="00534804"/>
    <w:rsid w:val="00534BDF"/>
    <w:rsid w:val="005354EA"/>
    <w:rsid w:val="005354F3"/>
    <w:rsid w:val="0053585F"/>
    <w:rsid w:val="00535EC4"/>
    <w:rsid w:val="00535ED9"/>
    <w:rsid w:val="0053692B"/>
    <w:rsid w:val="00537EDB"/>
    <w:rsid w:val="00541853"/>
    <w:rsid w:val="00543BDA"/>
    <w:rsid w:val="005441CC"/>
    <w:rsid w:val="005479DA"/>
    <w:rsid w:val="00547BCC"/>
    <w:rsid w:val="0055013B"/>
    <w:rsid w:val="00551F6F"/>
    <w:rsid w:val="00555044"/>
    <w:rsid w:val="0056109D"/>
    <w:rsid w:val="00561475"/>
    <w:rsid w:val="00562308"/>
    <w:rsid w:val="0056487B"/>
    <w:rsid w:val="00564FB9"/>
    <w:rsid w:val="00573D9E"/>
    <w:rsid w:val="00575DE6"/>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3E8D"/>
    <w:rsid w:val="005A4A1B"/>
    <w:rsid w:val="005A702A"/>
    <w:rsid w:val="005A7830"/>
    <w:rsid w:val="005A7FCE"/>
    <w:rsid w:val="005B0F3F"/>
    <w:rsid w:val="005B191C"/>
    <w:rsid w:val="005B4903"/>
    <w:rsid w:val="005B51CE"/>
    <w:rsid w:val="005B5885"/>
    <w:rsid w:val="005B5CD7"/>
    <w:rsid w:val="005B6CF6"/>
    <w:rsid w:val="005B7422"/>
    <w:rsid w:val="005C29B8"/>
    <w:rsid w:val="005C5478"/>
    <w:rsid w:val="005C5F21"/>
    <w:rsid w:val="005C7156"/>
    <w:rsid w:val="005D0C75"/>
    <w:rsid w:val="005D4171"/>
    <w:rsid w:val="005D5C64"/>
    <w:rsid w:val="005D6A95"/>
    <w:rsid w:val="005D6B2C"/>
    <w:rsid w:val="005D6D9C"/>
    <w:rsid w:val="005D7902"/>
    <w:rsid w:val="005E2335"/>
    <w:rsid w:val="005E34CA"/>
    <w:rsid w:val="005E3C18"/>
    <w:rsid w:val="005E4250"/>
    <w:rsid w:val="005E6812"/>
    <w:rsid w:val="005E7881"/>
    <w:rsid w:val="005E78E0"/>
    <w:rsid w:val="005F0D9C"/>
    <w:rsid w:val="005F284E"/>
    <w:rsid w:val="005F78E1"/>
    <w:rsid w:val="006015CE"/>
    <w:rsid w:val="00603EB8"/>
    <w:rsid w:val="00604784"/>
    <w:rsid w:val="00606419"/>
    <w:rsid w:val="00607D29"/>
    <w:rsid w:val="00612952"/>
    <w:rsid w:val="00613C47"/>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B01"/>
    <w:rsid w:val="00664F62"/>
    <w:rsid w:val="006655E1"/>
    <w:rsid w:val="00672060"/>
    <w:rsid w:val="00672BFD"/>
    <w:rsid w:val="006761A8"/>
    <w:rsid w:val="006770F4"/>
    <w:rsid w:val="00677A84"/>
    <w:rsid w:val="0068026D"/>
    <w:rsid w:val="00680A27"/>
    <w:rsid w:val="006816A4"/>
    <w:rsid w:val="006819B8"/>
    <w:rsid w:val="006840A6"/>
    <w:rsid w:val="006850CD"/>
    <w:rsid w:val="00685AAB"/>
    <w:rsid w:val="00690D5B"/>
    <w:rsid w:val="006A07AA"/>
    <w:rsid w:val="006A25E5"/>
    <w:rsid w:val="006A2B46"/>
    <w:rsid w:val="006A336D"/>
    <w:rsid w:val="006A37B9"/>
    <w:rsid w:val="006B09E0"/>
    <w:rsid w:val="006B207E"/>
    <w:rsid w:val="006B2672"/>
    <w:rsid w:val="006B54BF"/>
    <w:rsid w:val="006B5F44"/>
    <w:rsid w:val="006B5F90"/>
    <w:rsid w:val="006B6209"/>
    <w:rsid w:val="006B62E4"/>
    <w:rsid w:val="006B6886"/>
    <w:rsid w:val="006C1BBA"/>
    <w:rsid w:val="006C2079"/>
    <w:rsid w:val="006C5A62"/>
    <w:rsid w:val="006C5D68"/>
    <w:rsid w:val="006C6976"/>
    <w:rsid w:val="006C6DD0"/>
    <w:rsid w:val="006D04EA"/>
    <w:rsid w:val="006D16C4"/>
    <w:rsid w:val="006D3E96"/>
    <w:rsid w:val="006D4515"/>
    <w:rsid w:val="006D4BB1"/>
    <w:rsid w:val="006D6593"/>
    <w:rsid w:val="006F03A8"/>
    <w:rsid w:val="006F09AB"/>
    <w:rsid w:val="006F2ACA"/>
    <w:rsid w:val="006F2ADC"/>
    <w:rsid w:val="006F2BFE"/>
    <w:rsid w:val="006F31E9"/>
    <w:rsid w:val="006F6284"/>
    <w:rsid w:val="007002C5"/>
    <w:rsid w:val="00704387"/>
    <w:rsid w:val="007046C2"/>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D8D"/>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5A8"/>
    <w:rsid w:val="007600E3"/>
    <w:rsid w:val="007612E9"/>
    <w:rsid w:val="00765C43"/>
    <w:rsid w:val="00765EFB"/>
    <w:rsid w:val="007671CA"/>
    <w:rsid w:val="00767C61"/>
    <w:rsid w:val="0077008A"/>
    <w:rsid w:val="00773023"/>
    <w:rsid w:val="00773C1F"/>
    <w:rsid w:val="00774DA4"/>
    <w:rsid w:val="00776599"/>
    <w:rsid w:val="0078114B"/>
    <w:rsid w:val="00781DD2"/>
    <w:rsid w:val="00783ECF"/>
    <w:rsid w:val="0078413A"/>
    <w:rsid w:val="00786A6D"/>
    <w:rsid w:val="00793B7D"/>
    <w:rsid w:val="007959E8"/>
    <w:rsid w:val="00795E9C"/>
    <w:rsid w:val="007A0521"/>
    <w:rsid w:val="007A2E12"/>
    <w:rsid w:val="007A3475"/>
    <w:rsid w:val="007A41C8"/>
    <w:rsid w:val="007A4A0D"/>
    <w:rsid w:val="007A54CE"/>
    <w:rsid w:val="007A6FD9"/>
    <w:rsid w:val="007A7FFA"/>
    <w:rsid w:val="007B04EB"/>
    <w:rsid w:val="007B0D4F"/>
    <w:rsid w:val="007B5A3D"/>
    <w:rsid w:val="007B5B95"/>
    <w:rsid w:val="007B6032"/>
    <w:rsid w:val="007B68EA"/>
    <w:rsid w:val="007B731E"/>
    <w:rsid w:val="007B7453"/>
    <w:rsid w:val="007C105D"/>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F35"/>
    <w:rsid w:val="008373D3"/>
    <w:rsid w:val="00840617"/>
    <w:rsid w:val="00840F84"/>
    <w:rsid w:val="00842A47"/>
    <w:rsid w:val="00843C13"/>
    <w:rsid w:val="008454F8"/>
    <w:rsid w:val="008506E0"/>
    <w:rsid w:val="00851557"/>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2E2A"/>
    <w:rsid w:val="008930CB"/>
    <w:rsid w:val="008938DC"/>
    <w:rsid w:val="00893FD1"/>
    <w:rsid w:val="00894836"/>
    <w:rsid w:val="00894D6D"/>
    <w:rsid w:val="00895172"/>
    <w:rsid w:val="00895680"/>
    <w:rsid w:val="00896DFF"/>
    <w:rsid w:val="0089762C"/>
    <w:rsid w:val="008A173B"/>
    <w:rsid w:val="008A1893"/>
    <w:rsid w:val="008A57E6"/>
    <w:rsid w:val="008A6F81"/>
    <w:rsid w:val="008A7546"/>
    <w:rsid w:val="008A769A"/>
    <w:rsid w:val="008B0C9C"/>
    <w:rsid w:val="008B166D"/>
    <w:rsid w:val="008B17F4"/>
    <w:rsid w:val="008B3615"/>
    <w:rsid w:val="008B4AC4"/>
    <w:rsid w:val="008B50C8"/>
    <w:rsid w:val="008B5281"/>
    <w:rsid w:val="008B7E05"/>
    <w:rsid w:val="008C03E5"/>
    <w:rsid w:val="008C1797"/>
    <w:rsid w:val="008C219C"/>
    <w:rsid w:val="008C475E"/>
    <w:rsid w:val="008C58C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F5E"/>
    <w:rsid w:val="008F70BD"/>
    <w:rsid w:val="008F788F"/>
    <w:rsid w:val="008F7EA2"/>
    <w:rsid w:val="009000CF"/>
    <w:rsid w:val="00902722"/>
    <w:rsid w:val="009027BC"/>
    <w:rsid w:val="009034F0"/>
    <w:rsid w:val="00904286"/>
    <w:rsid w:val="009062E6"/>
    <w:rsid w:val="009115B6"/>
    <w:rsid w:val="00911BE5"/>
    <w:rsid w:val="00913CA9"/>
    <w:rsid w:val="009145AE"/>
    <w:rsid w:val="009146CE"/>
    <w:rsid w:val="0091476E"/>
    <w:rsid w:val="00914CA7"/>
    <w:rsid w:val="00915C3E"/>
    <w:rsid w:val="009161A8"/>
    <w:rsid w:val="009245AE"/>
    <w:rsid w:val="009245F5"/>
    <w:rsid w:val="009249EC"/>
    <w:rsid w:val="00927362"/>
    <w:rsid w:val="009273B3"/>
    <w:rsid w:val="009305B5"/>
    <w:rsid w:val="009378DD"/>
    <w:rsid w:val="009429D5"/>
    <w:rsid w:val="00942BF1"/>
    <w:rsid w:val="00945180"/>
    <w:rsid w:val="00945428"/>
    <w:rsid w:val="0094607B"/>
    <w:rsid w:val="00952F01"/>
    <w:rsid w:val="00953604"/>
    <w:rsid w:val="0095496B"/>
    <w:rsid w:val="00960F1E"/>
    <w:rsid w:val="009610DC"/>
    <w:rsid w:val="00961490"/>
    <w:rsid w:val="0096381A"/>
    <w:rsid w:val="00965B50"/>
    <w:rsid w:val="00965E04"/>
    <w:rsid w:val="009674AD"/>
    <w:rsid w:val="00970CDC"/>
    <w:rsid w:val="00971D7C"/>
    <w:rsid w:val="00975727"/>
    <w:rsid w:val="00977010"/>
    <w:rsid w:val="00977D02"/>
    <w:rsid w:val="00977FF9"/>
    <w:rsid w:val="009809BB"/>
    <w:rsid w:val="0098364B"/>
    <w:rsid w:val="00985057"/>
    <w:rsid w:val="009908A3"/>
    <w:rsid w:val="009911AF"/>
    <w:rsid w:val="00991875"/>
    <w:rsid w:val="00991F92"/>
    <w:rsid w:val="009927A6"/>
    <w:rsid w:val="00992985"/>
    <w:rsid w:val="00993889"/>
    <w:rsid w:val="00994AAA"/>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571F"/>
    <w:rsid w:val="009B6029"/>
    <w:rsid w:val="009B6971"/>
    <w:rsid w:val="009C27F1"/>
    <w:rsid w:val="009C3152"/>
    <w:rsid w:val="009C3257"/>
    <w:rsid w:val="009C4CFA"/>
    <w:rsid w:val="009C5070"/>
    <w:rsid w:val="009D112C"/>
    <w:rsid w:val="009D1385"/>
    <w:rsid w:val="009D3902"/>
    <w:rsid w:val="009D47FA"/>
    <w:rsid w:val="009D4C5B"/>
    <w:rsid w:val="009D50D2"/>
    <w:rsid w:val="009D6BCA"/>
    <w:rsid w:val="009E0F62"/>
    <w:rsid w:val="009E4449"/>
    <w:rsid w:val="009E4A58"/>
    <w:rsid w:val="009E5A2D"/>
    <w:rsid w:val="009E5AB2"/>
    <w:rsid w:val="009E6219"/>
    <w:rsid w:val="009E6D8B"/>
    <w:rsid w:val="009E7337"/>
    <w:rsid w:val="009F03B3"/>
    <w:rsid w:val="009F3FC8"/>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40C8"/>
    <w:rsid w:val="00A30EFC"/>
    <w:rsid w:val="00A31984"/>
    <w:rsid w:val="00A32D73"/>
    <w:rsid w:val="00A3367B"/>
    <w:rsid w:val="00A3597D"/>
    <w:rsid w:val="00A35BD4"/>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9E3"/>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2CB7"/>
    <w:rsid w:val="00AB6309"/>
    <w:rsid w:val="00AB6C5F"/>
    <w:rsid w:val="00AB7129"/>
    <w:rsid w:val="00AC27A6"/>
    <w:rsid w:val="00AC30F7"/>
    <w:rsid w:val="00AC3A5A"/>
    <w:rsid w:val="00AC4D26"/>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643F"/>
    <w:rsid w:val="00B0237D"/>
    <w:rsid w:val="00B049AF"/>
    <w:rsid w:val="00B07242"/>
    <w:rsid w:val="00B10534"/>
    <w:rsid w:val="00B113DB"/>
    <w:rsid w:val="00B11D8A"/>
    <w:rsid w:val="00B12981"/>
    <w:rsid w:val="00B147DD"/>
    <w:rsid w:val="00B156FD"/>
    <w:rsid w:val="00B21F61"/>
    <w:rsid w:val="00B251A6"/>
    <w:rsid w:val="00B261F1"/>
    <w:rsid w:val="00B265BC"/>
    <w:rsid w:val="00B31FB1"/>
    <w:rsid w:val="00B33952"/>
    <w:rsid w:val="00B33C5E"/>
    <w:rsid w:val="00B342F4"/>
    <w:rsid w:val="00B34369"/>
    <w:rsid w:val="00B34DC2"/>
    <w:rsid w:val="00B378E5"/>
    <w:rsid w:val="00B4346D"/>
    <w:rsid w:val="00B43E95"/>
    <w:rsid w:val="00B440F4"/>
    <w:rsid w:val="00B447A5"/>
    <w:rsid w:val="00B46498"/>
    <w:rsid w:val="00B4654C"/>
    <w:rsid w:val="00B47293"/>
    <w:rsid w:val="00B50E50"/>
    <w:rsid w:val="00B52120"/>
    <w:rsid w:val="00B54ABC"/>
    <w:rsid w:val="00B54D16"/>
    <w:rsid w:val="00B56FBE"/>
    <w:rsid w:val="00B60ACF"/>
    <w:rsid w:val="00B62B58"/>
    <w:rsid w:val="00B65149"/>
    <w:rsid w:val="00B66567"/>
    <w:rsid w:val="00B66F52"/>
    <w:rsid w:val="00B66FE5"/>
    <w:rsid w:val="00B72880"/>
    <w:rsid w:val="00B758BF"/>
    <w:rsid w:val="00B75EEB"/>
    <w:rsid w:val="00B77EC8"/>
    <w:rsid w:val="00B827A6"/>
    <w:rsid w:val="00B831CE"/>
    <w:rsid w:val="00B86677"/>
    <w:rsid w:val="00B87131"/>
    <w:rsid w:val="00B937E5"/>
    <w:rsid w:val="00B939B1"/>
    <w:rsid w:val="00B96D40"/>
    <w:rsid w:val="00B97386"/>
    <w:rsid w:val="00BA263B"/>
    <w:rsid w:val="00BA42B2"/>
    <w:rsid w:val="00BA58D4"/>
    <w:rsid w:val="00BA5B9E"/>
    <w:rsid w:val="00BA7C9A"/>
    <w:rsid w:val="00BB5F8F"/>
    <w:rsid w:val="00BB657A"/>
    <w:rsid w:val="00BC1A4E"/>
    <w:rsid w:val="00BC23D6"/>
    <w:rsid w:val="00BC5DC7"/>
    <w:rsid w:val="00BC6B8B"/>
    <w:rsid w:val="00BC73D8"/>
    <w:rsid w:val="00BD060B"/>
    <w:rsid w:val="00BD52D7"/>
    <w:rsid w:val="00BD5AD2"/>
    <w:rsid w:val="00BE22F3"/>
    <w:rsid w:val="00BE2DFC"/>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6122"/>
    <w:rsid w:val="00C21540"/>
    <w:rsid w:val="00C21906"/>
    <w:rsid w:val="00C21BFA"/>
    <w:rsid w:val="00C23AE2"/>
    <w:rsid w:val="00C24C8D"/>
    <w:rsid w:val="00C25FE2"/>
    <w:rsid w:val="00C26B53"/>
    <w:rsid w:val="00C278CD"/>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7B75"/>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7ABF"/>
    <w:rsid w:val="00CC038D"/>
    <w:rsid w:val="00CC04FB"/>
    <w:rsid w:val="00CC05AB"/>
    <w:rsid w:val="00CC08DB"/>
    <w:rsid w:val="00CC39FF"/>
    <w:rsid w:val="00CC3C2F"/>
    <w:rsid w:val="00CC4AC8"/>
    <w:rsid w:val="00CC5233"/>
    <w:rsid w:val="00CC5DE6"/>
    <w:rsid w:val="00CC6E4E"/>
    <w:rsid w:val="00CC6FE8"/>
    <w:rsid w:val="00CC7202"/>
    <w:rsid w:val="00CD1C1B"/>
    <w:rsid w:val="00CD2808"/>
    <w:rsid w:val="00CD28BF"/>
    <w:rsid w:val="00CD4092"/>
    <w:rsid w:val="00CD4A20"/>
    <w:rsid w:val="00CD50A1"/>
    <w:rsid w:val="00CD519E"/>
    <w:rsid w:val="00CD6E35"/>
    <w:rsid w:val="00CE0C4F"/>
    <w:rsid w:val="00CE30EA"/>
    <w:rsid w:val="00CF048A"/>
    <w:rsid w:val="00CF155A"/>
    <w:rsid w:val="00CF2947"/>
    <w:rsid w:val="00CF686F"/>
    <w:rsid w:val="00CF6E60"/>
    <w:rsid w:val="00CF7BCA"/>
    <w:rsid w:val="00D008FD"/>
    <w:rsid w:val="00D0321C"/>
    <w:rsid w:val="00D035EC"/>
    <w:rsid w:val="00D04FAF"/>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A15"/>
    <w:rsid w:val="00D53C6B"/>
    <w:rsid w:val="00D541CF"/>
    <w:rsid w:val="00D66782"/>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5839"/>
    <w:rsid w:val="00D97F99"/>
    <w:rsid w:val="00DA1E08"/>
    <w:rsid w:val="00DA24F8"/>
    <w:rsid w:val="00DA28E8"/>
    <w:rsid w:val="00DA38D3"/>
    <w:rsid w:val="00DA3932"/>
    <w:rsid w:val="00DA3AFC"/>
    <w:rsid w:val="00DA64F8"/>
    <w:rsid w:val="00DA6C15"/>
    <w:rsid w:val="00DB0258"/>
    <w:rsid w:val="00DB2B20"/>
    <w:rsid w:val="00DB38EE"/>
    <w:rsid w:val="00DB498B"/>
    <w:rsid w:val="00DB66CA"/>
    <w:rsid w:val="00DB6BCA"/>
    <w:rsid w:val="00DB6F54"/>
    <w:rsid w:val="00DB73F7"/>
    <w:rsid w:val="00DC0321"/>
    <w:rsid w:val="00DC3067"/>
    <w:rsid w:val="00DC370B"/>
    <w:rsid w:val="00DC5B90"/>
    <w:rsid w:val="00DC79C8"/>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55D2"/>
    <w:rsid w:val="00E06404"/>
    <w:rsid w:val="00E11A85"/>
    <w:rsid w:val="00E12495"/>
    <w:rsid w:val="00E15CCD"/>
    <w:rsid w:val="00E202EF"/>
    <w:rsid w:val="00E204A4"/>
    <w:rsid w:val="00E210B5"/>
    <w:rsid w:val="00E2552F"/>
    <w:rsid w:val="00E3137A"/>
    <w:rsid w:val="00E32CCF"/>
    <w:rsid w:val="00E34A98"/>
    <w:rsid w:val="00E35D1E"/>
    <w:rsid w:val="00E364F9"/>
    <w:rsid w:val="00E365FA"/>
    <w:rsid w:val="00E36789"/>
    <w:rsid w:val="00E44A83"/>
    <w:rsid w:val="00E502C1"/>
    <w:rsid w:val="00E502DD"/>
    <w:rsid w:val="00E50D3A"/>
    <w:rsid w:val="00E51361"/>
    <w:rsid w:val="00E51387"/>
    <w:rsid w:val="00E51E68"/>
    <w:rsid w:val="00E52125"/>
    <w:rsid w:val="00E52EFD"/>
    <w:rsid w:val="00E5408A"/>
    <w:rsid w:val="00E56800"/>
    <w:rsid w:val="00E60C63"/>
    <w:rsid w:val="00E62FF9"/>
    <w:rsid w:val="00E635D6"/>
    <w:rsid w:val="00E639BC"/>
    <w:rsid w:val="00E645F8"/>
    <w:rsid w:val="00E664CC"/>
    <w:rsid w:val="00E70388"/>
    <w:rsid w:val="00E70F92"/>
    <w:rsid w:val="00E7395B"/>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E50"/>
    <w:rsid w:val="00EB14BB"/>
    <w:rsid w:val="00EB1E69"/>
    <w:rsid w:val="00EB2086"/>
    <w:rsid w:val="00EB31ED"/>
    <w:rsid w:val="00EB52EF"/>
    <w:rsid w:val="00EB5EDF"/>
    <w:rsid w:val="00EB60FE"/>
    <w:rsid w:val="00EB6254"/>
    <w:rsid w:val="00EB74DB"/>
    <w:rsid w:val="00EC382C"/>
    <w:rsid w:val="00EC5359"/>
    <w:rsid w:val="00EC562A"/>
    <w:rsid w:val="00EC5A92"/>
    <w:rsid w:val="00ED067A"/>
    <w:rsid w:val="00ED2B50"/>
    <w:rsid w:val="00EE0350"/>
    <w:rsid w:val="00EE0719"/>
    <w:rsid w:val="00EE0E80"/>
    <w:rsid w:val="00EE613F"/>
    <w:rsid w:val="00EE7295"/>
    <w:rsid w:val="00EE7869"/>
    <w:rsid w:val="00EF054A"/>
    <w:rsid w:val="00EF3235"/>
    <w:rsid w:val="00EF581F"/>
    <w:rsid w:val="00EF7E72"/>
    <w:rsid w:val="00F0278E"/>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2D"/>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733"/>
    <w:rsid w:val="00FB45F1"/>
    <w:rsid w:val="00FB4A72"/>
    <w:rsid w:val="00FB54E8"/>
    <w:rsid w:val="00FB7054"/>
    <w:rsid w:val="00FC17B7"/>
    <w:rsid w:val="00FC2CB7"/>
    <w:rsid w:val="00FC4090"/>
    <w:rsid w:val="00FC55B4"/>
    <w:rsid w:val="00FC76EF"/>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EB1494"/>
    <w:rsid w:val="02AD7AC3"/>
    <w:rsid w:val="02AE55E9"/>
    <w:rsid w:val="02BA6D6B"/>
    <w:rsid w:val="02C8111D"/>
    <w:rsid w:val="03EE0393"/>
    <w:rsid w:val="0466077D"/>
    <w:rsid w:val="047D1717"/>
    <w:rsid w:val="097F55EA"/>
    <w:rsid w:val="09811362"/>
    <w:rsid w:val="09B721BD"/>
    <w:rsid w:val="0B0B35D9"/>
    <w:rsid w:val="0CD45814"/>
    <w:rsid w:val="0F873418"/>
    <w:rsid w:val="0FD20B69"/>
    <w:rsid w:val="10D17073"/>
    <w:rsid w:val="10DD535B"/>
    <w:rsid w:val="10E0785E"/>
    <w:rsid w:val="11D0732A"/>
    <w:rsid w:val="12096398"/>
    <w:rsid w:val="125D0492"/>
    <w:rsid w:val="130A686C"/>
    <w:rsid w:val="133E5820"/>
    <w:rsid w:val="13826402"/>
    <w:rsid w:val="13D749A0"/>
    <w:rsid w:val="141334FE"/>
    <w:rsid w:val="14EF7AC7"/>
    <w:rsid w:val="1514752E"/>
    <w:rsid w:val="15DF4CCA"/>
    <w:rsid w:val="16893F4C"/>
    <w:rsid w:val="16EB25B6"/>
    <w:rsid w:val="173F0F72"/>
    <w:rsid w:val="177B5642"/>
    <w:rsid w:val="178A7F7B"/>
    <w:rsid w:val="17C23271"/>
    <w:rsid w:val="17CF6AFB"/>
    <w:rsid w:val="195D6994"/>
    <w:rsid w:val="1A7B3BAB"/>
    <w:rsid w:val="1AB04E2D"/>
    <w:rsid w:val="1AD255F6"/>
    <w:rsid w:val="1B6C00C4"/>
    <w:rsid w:val="1B6F3710"/>
    <w:rsid w:val="1B794807"/>
    <w:rsid w:val="1BDD4B1E"/>
    <w:rsid w:val="1DC07CF2"/>
    <w:rsid w:val="1E21054D"/>
    <w:rsid w:val="1EF23D6B"/>
    <w:rsid w:val="1F2F7577"/>
    <w:rsid w:val="201A79C2"/>
    <w:rsid w:val="21E07116"/>
    <w:rsid w:val="22295244"/>
    <w:rsid w:val="22777571"/>
    <w:rsid w:val="238B47C5"/>
    <w:rsid w:val="24612064"/>
    <w:rsid w:val="25020159"/>
    <w:rsid w:val="2587603B"/>
    <w:rsid w:val="26552248"/>
    <w:rsid w:val="265B5FD7"/>
    <w:rsid w:val="26771E8D"/>
    <w:rsid w:val="294A30C6"/>
    <w:rsid w:val="29FD638B"/>
    <w:rsid w:val="2A730F56"/>
    <w:rsid w:val="2BEF7F55"/>
    <w:rsid w:val="2C5D5A92"/>
    <w:rsid w:val="2C8114F5"/>
    <w:rsid w:val="2DAC07F4"/>
    <w:rsid w:val="2DDD09AD"/>
    <w:rsid w:val="2E100D83"/>
    <w:rsid w:val="2F45683C"/>
    <w:rsid w:val="31344D88"/>
    <w:rsid w:val="314B0324"/>
    <w:rsid w:val="31523460"/>
    <w:rsid w:val="319121DA"/>
    <w:rsid w:val="31975317"/>
    <w:rsid w:val="31DF5BA8"/>
    <w:rsid w:val="32DA54BB"/>
    <w:rsid w:val="32EB46F7"/>
    <w:rsid w:val="3321133C"/>
    <w:rsid w:val="3401622F"/>
    <w:rsid w:val="34296463"/>
    <w:rsid w:val="34692F9B"/>
    <w:rsid w:val="352E7D40"/>
    <w:rsid w:val="35F72828"/>
    <w:rsid w:val="36550C24"/>
    <w:rsid w:val="36890764"/>
    <w:rsid w:val="377A101B"/>
    <w:rsid w:val="384763C1"/>
    <w:rsid w:val="38500D2A"/>
    <w:rsid w:val="388A7983"/>
    <w:rsid w:val="38C06F01"/>
    <w:rsid w:val="3914549F"/>
    <w:rsid w:val="3A4E0E83"/>
    <w:rsid w:val="3B337E5E"/>
    <w:rsid w:val="3B3836C7"/>
    <w:rsid w:val="3B4A51A8"/>
    <w:rsid w:val="3BC907C3"/>
    <w:rsid w:val="3BD121E3"/>
    <w:rsid w:val="3C4C0353"/>
    <w:rsid w:val="3C8C3936"/>
    <w:rsid w:val="3C93638E"/>
    <w:rsid w:val="3CB46D7D"/>
    <w:rsid w:val="3CEA279F"/>
    <w:rsid w:val="3E3A59A8"/>
    <w:rsid w:val="3F0D14CF"/>
    <w:rsid w:val="409273D5"/>
    <w:rsid w:val="41324284"/>
    <w:rsid w:val="415B4202"/>
    <w:rsid w:val="41C71300"/>
    <w:rsid w:val="41FB67B4"/>
    <w:rsid w:val="4241307A"/>
    <w:rsid w:val="426E5C20"/>
    <w:rsid w:val="428D254A"/>
    <w:rsid w:val="43370708"/>
    <w:rsid w:val="43481B07"/>
    <w:rsid w:val="43502618"/>
    <w:rsid w:val="43736A00"/>
    <w:rsid w:val="437C611B"/>
    <w:rsid w:val="438100C4"/>
    <w:rsid w:val="440E68E4"/>
    <w:rsid w:val="44110CDB"/>
    <w:rsid w:val="44A8440D"/>
    <w:rsid w:val="452B604A"/>
    <w:rsid w:val="465D697C"/>
    <w:rsid w:val="46691411"/>
    <w:rsid w:val="47574ED5"/>
    <w:rsid w:val="480F3A01"/>
    <w:rsid w:val="48CC18F2"/>
    <w:rsid w:val="49D722FD"/>
    <w:rsid w:val="4A1930E3"/>
    <w:rsid w:val="4AA5064D"/>
    <w:rsid w:val="4AA85A47"/>
    <w:rsid w:val="4AB668F2"/>
    <w:rsid w:val="4B1D6435"/>
    <w:rsid w:val="4B65264F"/>
    <w:rsid w:val="4BF4239E"/>
    <w:rsid w:val="4C2B6930"/>
    <w:rsid w:val="4C2D26A8"/>
    <w:rsid w:val="4D625AD5"/>
    <w:rsid w:val="4DBE3EFF"/>
    <w:rsid w:val="4F5368C9"/>
    <w:rsid w:val="50051787"/>
    <w:rsid w:val="506D3BDF"/>
    <w:rsid w:val="516528E4"/>
    <w:rsid w:val="519B17CF"/>
    <w:rsid w:val="526A01B2"/>
    <w:rsid w:val="52927562"/>
    <w:rsid w:val="529671F9"/>
    <w:rsid w:val="52AE4D36"/>
    <w:rsid w:val="538C23AA"/>
    <w:rsid w:val="53D22848"/>
    <w:rsid w:val="548412D3"/>
    <w:rsid w:val="55DE692D"/>
    <w:rsid w:val="566345FD"/>
    <w:rsid w:val="566D507F"/>
    <w:rsid w:val="57203535"/>
    <w:rsid w:val="582D0FFC"/>
    <w:rsid w:val="598C3104"/>
    <w:rsid w:val="5C3D06E5"/>
    <w:rsid w:val="5C592B4B"/>
    <w:rsid w:val="5CBD6DB6"/>
    <w:rsid w:val="5CFE091A"/>
    <w:rsid w:val="5F166FCB"/>
    <w:rsid w:val="5F774D36"/>
    <w:rsid w:val="60716850"/>
    <w:rsid w:val="60903494"/>
    <w:rsid w:val="60EB004D"/>
    <w:rsid w:val="61330309"/>
    <w:rsid w:val="61581B1D"/>
    <w:rsid w:val="616B7AA3"/>
    <w:rsid w:val="61E138C1"/>
    <w:rsid w:val="62894684"/>
    <w:rsid w:val="63807109"/>
    <w:rsid w:val="639C03E7"/>
    <w:rsid w:val="63DB75A1"/>
    <w:rsid w:val="64721148"/>
    <w:rsid w:val="647924D6"/>
    <w:rsid w:val="649E6BD8"/>
    <w:rsid w:val="650D55B4"/>
    <w:rsid w:val="6549634D"/>
    <w:rsid w:val="65515201"/>
    <w:rsid w:val="66263F98"/>
    <w:rsid w:val="6727446C"/>
    <w:rsid w:val="673E5311"/>
    <w:rsid w:val="676236F6"/>
    <w:rsid w:val="67AA4644"/>
    <w:rsid w:val="67B63E1E"/>
    <w:rsid w:val="67EE0AE5"/>
    <w:rsid w:val="68B52A4A"/>
    <w:rsid w:val="68F4037D"/>
    <w:rsid w:val="690A5DF3"/>
    <w:rsid w:val="695D5F23"/>
    <w:rsid w:val="69E46644"/>
    <w:rsid w:val="6A06480C"/>
    <w:rsid w:val="6A1A3E14"/>
    <w:rsid w:val="6AD541DF"/>
    <w:rsid w:val="6B39476E"/>
    <w:rsid w:val="6C705F6D"/>
    <w:rsid w:val="6C80748C"/>
    <w:rsid w:val="6CE556DE"/>
    <w:rsid w:val="6D5546C4"/>
    <w:rsid w:val="6D7101EF"/>
    <w:rsid w:val="6EA168B2"/>
    <w:rsid w:val="703D085C"/>
    <w:rsid w:val="71066EA0"/>
    <w:rsid w:val="716D5171"/>
    <w:rsid w:val="722A12B4"/>
    <w:rsid w:val="72DB610A"/>
    <w:rsid w:val="736D76AA"/>
    <w:rsid w:val="748864DD"/>
    <w:rsid w:val="74BE4029"/>
    <w:rsid w:val="757302BE"/>
    <w:rsid w:val="75D734B1"/>
    <w:rsid w:val="760E5F59"/>
    <w:rsid w:val="763E0E8A"/>
    <w:rsid w:val="77191045"/>
    <w:rsid w:val="771A0386"/>
    <w:rsid w:val="77304C77"/>
    <w:rsid w:val="7731279D"/>
    <w:rsid w:val="77754D7F"/>
    <w:rsid w:val="77E12415"/>
    <w:rsid w:val="780F0D30"/>
    <w:rsid w:val="789E20B4"/>
    <w:rsid w:val="7926348C"/>
    <w:rsid w:val="79AE6327"/>
    <w:rsid w:val="79CA6C00"/>
    <w:rsid w:val="7B3A2568"/>
    <w:rsid w:val="7B875081"/>
    <w:rsid w:val="7CA757A6"/>
    <w:rsid w:val="7CCF6CE0"/>
    <w:rsid w:val="7DFD5ACF"/>
    <w:rsid w:val="7E867872"/>
    <w:rsid w:val="7F2257ED"/>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3"/>
    <w:qFormat/>
    <w:uiPriority w:val="0"/>
    <w:rPr>
      <w:rFonts w:ascii="Times New Roman" w:hAnsi="Times New Roman" w:eastAsia="宋体" w:cs="Times New Roman"/>
      <w:b/>
      <w:bCs/>
      <w:kern w:val="44"/>
      <w:sz w:val="44"/>
      <w:szCs w:val="44"/>
    </w:rPr>
  </w:style>
  <w:style w:type="character" w:customStyle="1" w:styleId="36">
    <w:name w:val="标题 2 Char"/>
    <w:link w:val="4"/>
    <w:qFormat/>
    <w:uiPriority w:val="0"/>
    <w:rPr>
      <w:rFonts w:ascii="Arial" w:hAnsi="Arial" w:eastAsia="黑体" w:cs="Times New Roman"/>
      <w:b/>
      <w:bCs/>
      <w:sz w:val="32"/>
      <w:szCs w:val="32"/>
    </w:rPr>
  </w:style>
  <w:style w:type="character" w:customStyle="1" w:styleId="37">
    <w:name w:val="标题 3 Char"/>
    <w:link w:val="5"/>
    <w:qFormat/>
    <w:uiPriority w:val="0"/>
    <w:rPr>
      <w:rFonts w:ascii="Times New Roman" w:hAnsi="Times New Roman" w:eastAsia="宋体" w:cs="Times New Roman"/>
      <w:b/>
      <w:bCs/>
      <w:sz w:val="32"/>
      <w:szCs w:val="32"/>
    </w:rPr>
  </w:style>
  <w:style w:type="character" w:customStyle="1" w:styleId="38">
    <w:name w:val="标题 4 Char"/>
    <w:link w:val="6"/>
    <w:qFormat/>
    <w:uiPriority w:val="0"/>
    <w:rPr>
      <w:rFonts w:ascii="Arial" w:hAnsi="Arial" w:eastAsia="黑体" w:cs="Times New Roman"/>
      <w:b/>
      <w:bCs/>
      <w:sz w:val="28"/>
      <w:szCs w:val="28"/>
    </w:rPr>
  </w:style>
  <w:style w:type="character" w:customStyle="1" w:styleId="39">
    <w:name w:val="标题 5 Char"/>
    <w:link w:val="7"/>
    <w:qFormat/>
    <w:uiPriority w:val="0"/>
    <w:rPr>
      <w:rFonts w:ascii="Times New Roman" w:hAnsi="Times New Roman" w:eastAsia="宋体" w:cs="Times New Roman"/>
      <w:b/>
      <w:bCs/>
      <w:sz w:val="28"/>
      <w:szCs w:val="28"/>
    </w:rPr>
  </w:style>
  <w:style w:type="character" w:customStyle="1" w:styleId="40">
    <w:name w:val="标题 6 Char"/>
    <w:link w:val="8"/>
    <w:qFormat/>
    <w:uiPriority w:val="0"/>
    <w:rPr>
      <w:rFonts w:ascii="Arial" w:hAnsi="Arial" w:eastAsia="黑体" w:cs="Times New Roman"/>
      <w:b/>
      <w:bCs/>
      <w:sz w:val="24"/>
      <w:szCs w:val="24"/>
    </w:rPr>
  </w:style>
  <w:style w:type="character" w:customStyle="1" w:styleId="41">
    <w:name w:val="标题 7 Char"/>
    <w:link w:val="9"/>
    <w:qFormat/>
    <w:uiPriority w:val="0"/>
    <w:rPr>
      <w:rFonts w:ascii="Times New Roman" w:hAnsi="Times New Roman" w:eastAsia="宋体" w:cs="Times New Roman"/>
      <w:b/>
      <w:bCs/>
      <w:sz w:val="24"/>
      <w:szCs w:val="24"/>
    </w:rPr>
  </w:style>
  <w:style w:type="character" w:customStyle="1" w:styleId="42">
    <w:name w:val="标题 8 Char"/>
    <w:link w:val="10"/>
    <w:qFormat/>
    <w:uiPriority w:val="0"/>
    <w:rPr>
      <w:rFonts w:ascii="Arial" w:hAnsi="Arial" w:eastAsia="黑体" w:cs="Times New Roman"/>
      <w:sz w:val="24"/>
      <w:szCs w:val="24"/>
    </w:rPr>
  </w:style>
  <w:style w:type="character" w:customStyle="1" w:styleId="43">
    <w:name w:val="标题 9 Char"/>
    <w:link w:val="11"/>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numPr>
        <w:numId w:val="0"/>
      </w:num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numPr>
        <w:ilvl w:val="0"/>
        <w:numId w:val="0"/>
      </w:numPr>
      <w:spacing w:beforeLines="0" w:afterLines="0"/>
      <w:outlineLvl w:val="9"/>
    </w:pPr>
    <w:rPr>
      <w:rFonts w:ascii="宋体" w:eastAsia="宋体"/>
    </w:rPr>
  </w:style>
  <w:style w:type="paragraph" w:customStyle="1" w:styleId="164">
    <w:name w:val="标准文件_五级无标题"/>
    <w:basedOn w:val="104"/>
    <w:qFormat/>
    <w:uiPriority w:val="0"/>
    <w:pPr>
      <w:numPr>
        <w:ilvl w:val="0"/>
        <w:numId w:val="0"/>
      </w:numPr>
      <w:spacing w:beforeLines="0" w:afterLines="0"/>
      <w:outlineLvl w:val="9"/>
    </w:pPr>
    <w:rPr>
      <w:rFonts w:ascii="宋体" w:eastAsia="宋体"/>
    </w:rPr>
  </w:style>
  <w:style w:type="paragraph" w:customStyle="1" w:styleId="165">
    <w:name w:val="标准文件_三级无标题"/>
    <w:basedOn w:val="95"/>
    <w:qFormat/>
    <w:uiPriority w:val="0"/>
    <w:pPr>
      <w:numPr>
        <w:ilvl w:val="0"/>
        <w:numId w:val="0"/>
      </w:numPr>
      <w:spacing w:beforeLines="0" w:afterLines="0"/>
      <w:outlineLvl w:val="9"/>
    </w:pPr>
    <w:rPr>
      <w:rFonts w:ascii="宋体" w:eastAsia="宋体"/>
    </w:rPr>
  </w:style>
  <w:style w:type="paragraph" w:customStyle="1" w:styleId="166">
    <w:name w:val="标准文件_二级无标题"/>
    <w:basedOn w:val="66"/>
    <w:qFormat/>
    <w:uiPriority w:val="0"/>
    <w:pPr>
      <w:numPr>
        <w:ilvl w:val="0"/>
        <w:numId w:val="0"/>
      </w:num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numPr>
        <w:ilvl w:val="0"/>
        <w:numId w:val="0"/>
      </w:num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ind w:left="0"/>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numPr>
        <w:ilvl w:val="0"/>
        <w:numId w:val="0"/>
      </w:num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numPr>
        <w:ilvl w:val="0"/>
        <w:numId w:val="0"/>
      </w:num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numPr>
        <w:ilvl w:val="0"/>
        <w:numId w:val="0"/>
      </w:num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numPr>
        <w:ilvl w:val="0"/>
        <w:numId w:val="0"/>
      </w:num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numPr>
        <w:ilvl w:val="0"/>
        <w:numId w:val="0"/>
      </w:num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numPr>
        <w:ilvl w:val="0"/>
        <w:numId w:val="0"/>
      </w:numPr>
      <w:spacing w:beforeLines="0" w:afterLines="0" w:line="276" w:lineRule="auto"/>
    </w:pPr>
    <w:rPr>
      <w:rFonts w:ascii="宋体" w:eastAsia="宋体"/>
    </w:rPr>
  </w:style>
  <w:style w:type="paragraph" w:customStyle="1" w:styleId="218">
    <w:name w:val="标准文件_引言二级无标题"/>
    <w:basedOn w:val="202"/>
    <w:next w:val="57"/>
    <w:qFormat/>
    <w:uiPriority w:val="0"/>
    <w:pPr>
      <w:numPr>
        <w:ilvl w:val="0"/>
        <w:numId w:val="0"/>
      </w:numPr>
      <w:spacing w:beforeLines="0" w:afterLines="0" w:line="276" w:lineRule="auto"/>
    </w:pPr>
    <w:rPr>
      <w:rFonts w:ascii="宋体" w:eastAsia="宋体"/>
    </w:rPr>
  </w:style>
  <w:style w:type="paragraph" w:customStyle="1" w:styleId="219">
    <w:name w:val="标准文件_引言三级无标题"/>
    <w:basedOn w:val="203"/>
    <w:next w:val="57"/>
    <w:qFormat/>
    <w:uiPriority w:val="0"/>
    <w:pPr>
      <w:numPr>
        <w:ilvl w:val="0"/>
        <w:numId w:val="0"/>
      </w:numPr>
      <w:spacing w:beforeLines="0" w:afterLines="0" w:line="276" w:lineRule="auto"/>
    </w:pPr>
    <w:rPr>
      <w:rFonts w:ascii="宋体" w:eastAsia="宋体"/>
    </w:rPr>
  </w:style>
  <w:style w:type="paragraph" w:customStyle="1" w:styleId="220">
    <w:name w:val="标准文件_引言四级无标题"/>
    <w:basedOn w:val="204"/>
    <w:next w:val="57"/>
    <w:qFormat/>
    <w:uiPriority w:val="0"/>
    <w:pPr>
      <w:numPr>
        <w:ilvl w:val="0"/>
        <w:numId w:val="0"/>
      </w:numPr>
      <w:spacing w:beforeLines="0" w:afterLines="0" w:line="276" w:lineRule="auto"/>
    </w:pPr>
    <w:rPr>
      <w:rFonts w:ascii="宋体" w:eastAsia="宋体"/>
    </w:rPr>
  </w:style>
  <w:style w:type="paragraph" w:customStyle="1" w:styleId="221">
    <w:name w:val="标准文件_引言五级无标题"/>
    <w:basedOn w:val="205"/>
    <w:next w:val="57"/>
    <w:qFormat/>
    <w:uiPriority w:val="0"/>
    <w:pPr>
      <w:numPr>
        <w:ilvl w:val="0"/>
        <w:numId w:val="0"/>
      </w:num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段"/>
    <w:basedOn w:val="1"/>
    <w:qFormat/>
    <w:uiPriority w:val="0"/>
    <w:pPr>
      <w:widowControl/>
      <w:autoSpaceDE w:val="0"/>
      <w:autoSpaceDN w:val="0"/>
      <w:adjustRightInd/>
      <w:spacing w:line="240" w:lineRule="auto"/>
    </w:pPr>
    <w:rPr>
      <w:rFonts w:ascii="宋体" w:hAnsi="Times New Roman"/>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76AFB739A7D49E7A9D9560BFAD36C13"/>
        <w:style w:val=""/>
        <w:category>
          <w:name w:val="常规"/>
          <w:gallery w:val="placeholder"/>
        </w:category>
        <w:types>
          <w:type w:val="bbPlcHdr"/>
        </w:types>
        <w:behaviors>
          <w:behavior w:val="content"/>
        </w:behaviors>
        <w:description w:val=""/>
        <w:guid w:val="{342B144D-4A81-4961-B6F9-B09248AF2A5F}"/>
      </w:docPartPr>
      <w:docPartBody>
        <w:p>
          <w:pPr>
            <w:pStyle w:val="5"/>
          </w:pPr>
          <w:r>
            <w:rPr>
              <w:rStyle w:val="4"/>
              <w:rFonts w:hint="eastAsia"/>
            </w:rPr>
            <w:t>单击或点击此处输入文字。</w:t>
          </w:r>
        </w:p>
      </w:docPartBody>
    </w:docPart>
    <w:docPart>
      <w:docPartPr>
        <w:name w:val="026A0C74390D4CD289D4134FACC1DB7F"/>
        <w:style w:val=""/>
        <w:category>
          <w:name w:val="常规"/>
          <w:gallery w:val="placeholder"/>
        </w:category>
        <w:types>
          <w:type w:val="bbPlcHdr"/>
        </w:types>
        <w:behaviors>
          <w:behavior w:val="content"/>
        </w:behaviors>
        <w:description w:val=""/>
        <w:guid w:val="{272D06E8-6CA9-4863-9425-3E81D7C4BC31}"/>
      </w:docPartPr>
      <w:docPartBody>
        <w:p>
          <w:pPr>
            <w:pStyle w:val="6"/>
          </w:pPr>
          <w:r>
            <w:rPr>
              <w:rStyle w:val="4"/>
              <w:rFonts w:hint="eastAsia"/>
            </w:rPr>
            <w:t>选择一项。</w:t>
          </w:r>
        </w:p>
      </w:docPartBody>
    </w:docPart>
    <w:docPart>
      <w:docPartPr>
        <w:name w:val="5CD84D83A5EC45299AFE048AA8688CC4"/>
        <w:style w:val=""/>
        <w:category>
          <w:name w:val="常规"/>
          <w:gallery w:val="placeholder"/>
        </w:category>
        <w:types>
          <w:type w:val="bbPlcHdr"/>
        </w:types>
        <w:behaviors>
          <w:behavior w:val="content"/>
        </w:behaviors>
        <w:description w:val=""/>
        <w:guid w:val="{5D95A16A-4365-4834-941F-36C4B2D63FE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0FEC"/>
    <w:rsid w:val="00045491"/>
    <w:rsid w:val="00113A14"/>
    <w:rsid w:val="00122ADD"/>
    <w:rsid w:val="00154AFA"/>
    <w:rsid w:val="001C0A54"/>
    <w:rsid w:val="001C2DE9"/>
    <w:rsid w:val="001E2A27"/>
    <w:rsid w:val="00215F09"/>
    <w:rsid w:val="00342F62"/>
    <w:rsid w:val="00430FEC"/>
    <w:rsid w:val="00517E49"/>
    <w:rsid w:val="00624CD8"/>
    <w:rsid w:val="007C6CF0"/>
    <w:rsid w:val="00821150"/>
    <w:rsid w:val="008237C9"/>
    <w:rsid w:val="008D71AE"/>
    <w:rsid w:val="009E7092"/>
    <w:rsid w:val="00AA6E0D"/>
    <w:rsid w:val="00BF755A"/>
    <w:rsid w:val="00C5589E"/>
    <w:rsid w:val="00C61BBA"/>
    <w:rsid w:val="00D01342"/>
    <w:rsid w:val="00E31DF2"/>
    <w:rsid w:val="00E4189C"/>
    <w:rsid w:val="00EE5A92"/>
    <w:rsid w:val="00FA26A7"/>
    <w:rsid w:val="00FB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76AFB739A7D49E7A9D9560BFAD36C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26A0C74390D4CD289D4134FACC1DB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CD84D83A5EC45299AFE048AA8688CC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DF0070-38BF-4BCE-B421-8976A0C3B1B1}">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10</Pages>
  <Words>4459</Words>
  <Characters>5030</Characters>
  <Lines>48</Lines>
  <Paragraphs>13</Paragraphs>
  <TotalTime>42</TotalTime>
  <ScaleCrop>false</ScaleCrop>
  <LinksUpToDate>false</LinksUpToDate>
  <CharactersWithSpaces>5172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2023-08-09T10:08:00Z</dcterms:created>
  <dc:creator>Administrator</dc:creator>
  <cp:lastModifiedBy>Huang</cp:lastModifiedBy>
  <cp:lastPrinted>2023-08-10T02:51:00Z</cp:lastPrinted>
  <dcterms:modified xsi:type="dcterms:W3CDTF">2023-10-24T07:47:19Z</dcterms:modified>
  <dc:title>团体标准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2052-12.1.0.15398</vt:lpwstr>
  </property>
  <property fmtid="{D5CDD505-2E9C-101B-9397-08002B2CF9AE}" pid="15" name="ICV">
    <vt:lpwstr>7605012C61084E27B2B3FEE4B2034BD9_13</vt:lpwstr>
  </property>
  <property fmtid="{D5CDD505-2E9C-101B-9397-08002B2CF9AE}" pid="16" name="DoublePage">
    <vt:lpwstr>true</vt:lpwstr>
  </property>
</Properties>
</file>