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keepNext/>
        <w:keepLines/>
        <w:ind w:firstLine="0" w:firstLineChars="0"/>
        <w:outlineLvl w:val="0"/>
        <w:rPr>
          <w:rFonts w:ascii="方正小标宋_GBK" w:hAnsi="方正小标宋_GBK" w:eastAsia="方正小标宋_GBK" w:cs="方正小标宋_GBK"/>
          <w:bCs/>
          <w:sz w:val="44"/>
          <w:szCs w:val="44"/>
        </w:rPr>
      </w:pPr>
    </w:p>
    <w:p>
      <w:pPr>
        <w:keepNext/>
        <w:keepLines/>
        <w:ind w:firstLine="0" w:firstLineChars="0"/>
        <w:outlineLvl w:val="0"/>
        <w:rPr>
          <w:rFonts w:ascii="方正小标宋_GBK" w:hAnsi="方正小标宋_GBK" w:eastAsia="方正小标宋_GBK" w:cs="方正小标宋_GBK"/>
          <w:bCs/>
          <w:sz w:val="44"/>
          <w:szCs w:val="44"/>
        </w:rPr>
      </w:pPr>
    </w:p>
    <w:p>
      <w:pPr>
        <w:keepNext/>
        <w:keepLines/>
        <w:ind w:firstLine="0" w:firstLineChars="0"/>
        <w:outlineLvl w:val="0"/>
        <w:rPr>
          <w:rFonts w:ascii="方正小标宋_GBK" w:hAnsi="方正小标宋_GBK" w:eastAsia="方正小标宋_GBK" w:cs="方正小标宋_GBK"/>
          <w:bCs/>
          <w:sz w:val="44"/>
          <w:szCs w:val="44"/>
        </w:rPr>
      </w:pPr>
    </w:p>
    <w:p>
      <w:pPr>
        <w:keepNext/>
        <w:keepLines/>
        <w:ind w:firstLine="0" w:firstLineChars="0"/>
        <w:outlineLvl w:val="0"/>
        <w:rPr>
          <w:rFonts w:ascii="方正小标宋_GBK" w:hAnsi="方正小标宋_GBK" w:eastAsia="方正小标宋_GBK" w:cs="方正小标宋_GBK"/>
          <w:bCs/>
          <w:sz w:val="44"/>
          <w:szCs w:val="44"/>
        </w:rPr>
      </w:pPr>
    </w:p>
    <w:p>
      <w:pPr>
        <w:keepNext/>
        <w:keepLines/>
        <w:spacing w:line="360" w:lineRule="auto"/>
        <w:ind w:firstLine="0" w:firstLineChars="0"/>
        <w:jc w:val="center"/>
        <w:outlineLvl w:val="0"/>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深圳市团体标准</w:t>
      </w:r>
    </w:p>
    <w:p>
      <w:pPr>
        <w:keepNext/>
        <w:keepLines/>
        <w:spacing w:line="360" w:lineRule="auto"/>
        <w:ind w:firstLine="0" w:firstLineChars="0"/>
        <w:jc w:val="center"/>
        <w:outlineLvl w:val="0"/>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《低碳供应链企业评价指标体系》</w:t>
      </w:r>
    </w:p>
    <w:p>
      <w:pPr>
        <w:keepNext/>
        <w:keepLines/>
        <w:spacing w:line="360" w:lineRule="auto"/>
        <w:ind w:firstLine="0" w:firstLineChars="0"/>
        <w:jc w:val="center"/>
        <w:outlineLvl w:val="0"/>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（征求意见稿）</w:t>
      </w:r>
    </w:p>
    <w:p>
      <w:pPr>
        <w:pStyle w:val="2"/>
        <w:ind w:firstLine="560"/>
      </w:pPr>
    </w:p>
    <w:p>
      <w:pPr>
        <w:keepNext/>
        <w:keepLines/>
        <w:spacing w:line="360" w:lineRule="auto"/>
        <w:ind w:firstLine="0" w:firstLineChars="0"/>
        <w:jc w:val="center"/>
        <w:outlineLvl w:val="0"/>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编制说明</w:t>
      </w:r>
    </w:p>
    <w:p>
      <w:pPr>
        <w:snapToGrid w:val="0"/>
        <w:ind w:firstLine="643"/>
        <w:jc w:val="center"/>
        <w:rPr>
          <w:rFonts w:ascii="仿宋" w:hAnsi="仿宋" w:eastAsia="仿宋" w:cs="Times New Roman"/>
          <w:b/>
          <w:szCs w:val="32"/>
        </w:rPr>
      </w:pPr>
    </w:p>
    <w:p>
      <w:pPr>
        <w:snapToGrid w:val="0"/>
        <w:ind w:firstLine="640"/>
        <w:jc w:val="center"/>
        <w:rPr>
          <w:rFonts w:ascii="仿宋" w:hAnsi="仿宋" w:eastAsia="仿宋" w:cs="Times New Roman"/>
          <w:szCs w:val="32"/>
        </w:rPr>
      </w:pPr>
    </w:p>
    <w:p>
      <w:pPr>
        <w:snapToGrid w:val="0"/>
        <w:ind w:firstLine="640"/>
        <w:jc w:val="center"/>
        <w:rPr>
          <w:rFonts w:ascii="仿宋" w:hAnsi="仿宋" w:eastAsia="仿宋" w:cs="Times New Roman"/>
          <w:szCs w:val="32"/>
        </w:rPr>
      </w:pPr>
    </w:p>
    <w:p>
      <w:pPr>
        <w:snapToGrid w:val="0"/>
        <w:ind w:firstLine="640"/>
        <w:jc w:val="center"/>
        <w:rPr>
          <w:rFonts w:ascii="仿宋" w:hAnsi="仿宋" w:eastAsia="仿宋" w:cs="Times New Roman"/>
          <w:szCs w:val="32"/>
        </w:rPr>
      </w:pPr>
    </w:p>
    <w:p>
      <w:pPr>
        <w:snapToGrid w:val="0"/>
        <w:ind w:firstLine="640"/>
        <w:jc w:val="center"/>
        <w:rPr>
          <w:rFonts w:ascii="仿宋" w:hAnsi="仿宋" w:eastAsia="仿宋" w:cs="Times New Roman"/>
          <w:szCs w:val="32"/>
        </w:rPr>
      </w:pPr>
      <w:r>
        <w:rPr>
          <w:rFonts w:ascii="仿宋" w:hAnsi="仿宋" w:eastAsia="仿宋" w:cs="Times New Roman"/>
          <w:szCs w:val="32"/>
        </w:rPr>
        <w:br w:type="textWrapping"/>
      </w:r>
      <w:r>
        <w:rPr>
          <w:rFonts w:ascii="仿宋" w:hAnsi="仿宋" w:eastAsia="仿宋" w:cs="Times New Roman"/>
          <w:szCs w:val="32"/>
        </w:rPr>
        <w:br w:type="textWrapping"/>
      </w:r>
      <w:r>
        <w:rPr>
          <w:rFonts w:ascii="仿宋" w:hAnsi="仿宋" w:eastAsia="仿宋" w:cs="Times New Roman"/>
          <w:szCs w:val="32"/>
        </w:rPr>
        <w:br w:type="textWrapping"/>
      </w:r>
    </w:p>
    <w:p>
      <w:pPr>
        <w:snapToGrid w:val="0"/>
        <w:ind w:firstLine="640"/>
        <w:jc w:val="center"/>
        <w:rPr>
          <w:rFonts w:ascii="仿宋" w:hAnsi="仿宋" w:eastAsia="仿宋" w:cs="Times New Roman"/>
          <w:szCs w:val="32"/>
        </w:rPr>
      </w:pPr>
    </w:p>
    <w:p>
      <w:pPr>
        <w:snapToGrid w:val="0"/>
        <w:ind w:firstLine="0" w:firstLineChars="0"/>
        <w:rPr>
          <w:rFonts w:ascii="楷体_GB2312" w:hAnsi="仿宋" w:eastAsia="楷体_GB2312" w:cs="Times New Roman"/>
          <w:bCs/>
          <w:szCs w:val="32"/>
        </w:rPr>
      </w:pPr>
    </w:p>
    <w:p>
      <w:pPr>
        <w:snapToGrid w:val="0"/>
        <w:ind w:firstLine="0" w:firstLineChars="0"/>
        <w:jc w:val="center"/>
        <w:rPr>
          <w:rFonts w:ascii="楷体_GB2312" w:hAnsi="仿宋" w:eastAsia="楷体_GB2312" w:cs="Times New Roman"/>
          <w:bCs/>
          <w:szCs w:val="32"/>
        </w:rPr>
      </w:pPr>
      <w:r>
        <w:rPr>
          <w:rFonts w:hint="eastAsia" w:ascii="楷体_GB2312" w:hAnsi="仿宋" w:eastAsia="楷体_GB2312" w:cs="Times New Roman"/>
          <w:bCs/>
          <w:szCs w:val="32"/>
        </w:rPr>
        <w:t>《低碳供应链企业评价指标体系》标准编制组</w:t>
      </w:r>
    </w:p>
    <w:p>
      <w:pPr>
        <w:snapToGrid w:val="0"/>
        <w:ind w:firstLine="0" w:firstLineChars="0"/>
        <w:jc w:val="center"/>
      </w:pPr>
      <w:r>
        <w:rPr>
          <w:rFonts w:ascii="楷体_GB2312" w:hAnsi="仿宋" w:eastAsia="楷体_GB2312" w:cs="Times New Roman"/>
          <w:bCs/>
          <w:szCs w:val="32"/>
        </w:rPr>
        <w:t>20</w:t>
      </w:r>
      <w:r>
        <w:rPr>
          <w:rFonts w:hint="eastAsia" w:ascii="楷体_GB2312" w:hAnsi="仿宋" w:eastAsia="楷体_GB2312" w:cs="Times New Roman"/>
          <w:bCs/>
          <w:szCs w:val="32"/>
        </w:rPr>
        <w:t>23</w:t>
      </w:r>
      <w:r>
        <w:rPr>
          <w:rFonts w:ascii="楷体_GB2312" w:hAnsi="仿宋" w:eastAsia="楷体_GB2312" w:cs="Times New Roman"/>
          <w:bCs/>
          <w:szCs w:val="32"/>
        </w:rPr>
        <w:t>年</w:t>
      </w:r>
      <w:r>
        <w:rPr>
          <w:rFonts w:hint="eastAsia" w:ascii="楷体_GB2312" w:hAnsi="仿宋" w:eastAsia="楷体_GB2312" w:cs="Times New Roman"/>
          <w:bCs/>
          <w:szCs w:val="32"/>
        </w:rPr>
        <w:t>8</w:t>
      </w:r>
      <w:r>
        <w:rPr>
          <w:rFonts w:ascii="楷体_GB2312" w:hAnsi="仿宋" w:eastAsia="楷体_GB2312" w:cs="Times New Roman"/>
          <w:bCs/>
          <w:szCs w:val="32"/>
        </w:rPr>
        <w:t>月</w:t>
      </w:r>
    </w:p>
    <w:p>
      <w:pPr>
        <w:pStyle w:val="2"/>
        <w:spacing w:line="578" w:lineRule="exact"/>
        <w:ind w:firstLine="0" w:firstLineChars="0"/>
        <w:sectPr>
          <w:headerReference r:id="rId7" w:type="first"/>
          <w:footerReference r:id="rId10" w:type="first"/>
          <w:headerReference r:id="rId5" w:type="default"/>
          <w:footerReference r:id="rId8" w:type="default"/>
          <w:headerReference r:id="rId6" w:type="even"/>
          <w:footerReference r:id="rId9" w:type="even"/>
          <w:pgSz w:w="11906" w:h="16838"/>
          <w:pgMar w:top="1440" w:right="991" w:bottom="1134" w:left="1418" w:header="851" w:footer="992" w:gutter="0"/>
          <w:pgNumType w:start="1"/>
          <w:cols w:space="425" w:num="1"/>
          <w:docGrid w:type="lines" w:linePitch="312" w:charSpace="0"/>
        </w:sectPr>
      </w:pPr>
    </w:p>
    <w:p>
      <w:pPr>
        <w:pStyle w:val="3"/>
        <w:ind w:firstLine="640"/>
      </w:pPr>
      <w:r>
        <w:rPr>
          <w:rFonts w:hint="eastAsia"/>
        </w:rPr>
        <w:t>一、项目背景及目的意义</w:t>
      </w:r>
    </w:p>
    <w:p>
      <w:pPr>
        <w:pStyle w:val="4"/>
        <w:ind w:firstLine="640"/>
      </w:pPr>
      <w:r>
        <w:rPr>
          <w:rFonts w:hint="eastAsia"/>
        </w:rPr>
        <w:t>（一）项目背景</w:t>
      </w:r>
    </w:p>
    <w:p>
      <w:pPr>
        <w:ind w:firstLine="643"/>
        <w:rPr>
          <w:b/>
        </w:rPr>
      </w:pPr>
      <w:r>
        <w:rPr>
          <w:rFonts w:hint="eastAsia"/>
          <w:b/>
        </w:rPr>
        <w:t>1.“双碳”战略要求供应链企业低碳化发展</w:t>
      </w:r>
    </w:p>
    <w:p>
      <w:pPr>
        <w:ind w:firstLine="640"/>
      </w:pPr>
      <w:r>
        <w:rPr>
          <w:rFonts w:hint="eastAsia"/>
        </w:rPr>
        <w:t>实现</w:t>
      </w:r>
      <w:r>
        <w:rPr>
          <w:rFonts w:hint="eastAsia" w:cs="仿宋_GB2312"/>
        </w:rPr>
        <w:t>2030</w:t>
      </w:r>
      <w:r>
        <w:rPr>
          <w:rFonts w:hint="eastAsia"/>
        </w:rPr>
        <w:t>年前碳达峰</w:t>
      </w:r>
      <w:r>
        <w:rPr>
          <w:rFonts w:hint="eastAsia" w:cs="仿宋_GB2312"/>
        </w:rPr>
        <w:t>、2060年前碳中和是党中央重大战略部署，作为世界最大的能源消费国和温室气体排放国，2022年，我国二氧化碳排放量为114.77亿吨，是美国的2.44倍</w:t>
      </w:r>
      <w:r>
        <w:rPr>
          <w:rFonts w:hint="eastAsia"/>
        </w:rPr>
        <w:t>，减碳任务十分艰巨。在全球主要经济活动中，供应链环节碳排放量高居第二，供应链企业业务涵盖计划、采购、设计、生产加工、物流仓储、销售等各个环节，其中多个环节具有高能耗高排放的特点，是温室气体排放的主要贡献者。作为影响社会经济环节的主要功能枢纽，供应链低碳减排重要性愈发凸显。</w:t>
      </w:r>
    </w:p>
    <w:p>
      <w:pPr>
        <w:ind w:firstLine="643"/>
        <w:rPr>
          <w:b/>
        </w:rPr>
      </w:pPr>
      <w:r>
        <w:rPr>
          <w:rFonts w:hint="eastAsia"/>
          <w:b/>
        </w:rPr>
        <w:t>2.国家和地方相继出台相关政策助力“双碳”目标</w:t>
      </w:r>
    </w:p>
    <w:p>
      <w:pPr>
        <w:ind w:firstLine="640"/>
      </w:pPr>
      <w:r>
        <w:rPr>
          <w:rFonts w:hint="eastAsia"/>
        </w:rPr>
        <w:t>低碳发展与低碳转型是大势所趋，供应链低碳发展是碳中和背景下低碳政策的重要要求。为实现碳达峰和碳中和愿景，国家和地方层面陆续出台“双碳”相关政策，为低碳供应链发展提供导向。</w:t>
      </w:r>
      <w:r>
        <w:rPr>
          <w:rFonts w:hint="eastAsia" w:cs="仿宋_GB2312"/>
        </w:rPr>
        <w:t>2021年2月，《国务院关于加快建立健全绿色低碳循环发展经济体系的指导意见》指出：要坚定不移贯彻新发展理念，使发展建立在高效利用资源、有效控制温室气体排放的基础上，建立健全绿色低碳循环发展的经济体系。2022年8</w:t>
      </w:r>
      <w:r>
        <w:rPr>
          <w:rFonts w:hint="eastAsia"/>
        </w:rPr>
        <w:t>月，工业和信息化部、国家发展改革委、生态环境部印发《工业领域碳达峰实施方案》，《方案》提出构建绿色低碳供应链，支持行业龙头企业在供应链整合、创新低碳管理等关键领域发挥引领作用，将绿色低碳理念贯穿于产品设计、原料采购、生产、运输、储存、使用、回收处理的全过程，推动供应链全链条绿色低碳发展。</w:t>
      </w:r>
      <w:r>
        <w:rPr>
          <w:rFonts w:hint="eastAsia" w:cs="仿宋_GB2312"/>
        </w:rPr>
        <w:t>2022年7月，《深圳市碳排放权交易管理办法》正式施行，《办法》对标欧盟、美国RGGI等国际碳市场，进一步完善碳排放权交易管理体制，</w:t>
      </w:r>
      <w:r>
        <w:rPr>
          <w:rFonts w:hint="eastAsia"/>
        </w:rPr>
        <w:t>提出重点排放单位应建立健全碳排放管理体系，配备碳排放管理人员，按规定公开碳排放相关信息等。</w:t>
      </w:r>
    </w:p>
    <w:p>
      <w:pPr>
        <w:ind w:firstLine="643"/>
        <w:rPr>
          <w:b/>
        </w:rPr>
      </w:pPr>
      <w:r>
        <w:rPr>
          <w:rFonts w:hint="eastAsia"/>
          <w:b/>
        </w:rPr>
        <w:t>3.深圳作为供应链企业集聚地具备低碳转型优势</w:t>
      </w:r>
    </w:p>
    <w:p>
      <w:pPr>
        <w:ind w:firstLine="640"/>
      </w:pPr>
      <w:r>
        <w:rPr>
          <w:rFonts w:hint="eastAsia"/>
        </w:rPr>
        <w:t>深圳是中国供应链企业的集聚地，推动供应链低碳转型具有得天独厚的优势。现代物流业是深圳四大支柱产业之一，</w:t>
      </w:r>
      <w:r>
        <w:rPr>
          <w:rFonts w:hint="eastAsia" w:cs="仿宋_GB2312"/>
        </w:rPr>
        <w:t>2022年深圳市物流业增加值3302.23亿元，占GDP10.2%。全市物流企业约8万家，其中供应链企业超4000家，占全国的80%。</w:t>
      </w:r>
      <w:r>
        <w:rPr>
          <w:rFonts w:hint="eastAsia"/>
        </w:rPr>
        <w:t>深圳作为国家首批低碳试点城市、碳排放权交易试点城市、供应链创新与应用示范城市，坚持绿色发展理念，推动供应链企业低碳减排有助于进一步赋能企业可持续发展，助力经济释放新动能。</w:t>
      </w:r>
    </w:p>
    <w:p>
      <w:pPr>
        <w:pStyle w:val="4"/>
        <w:numPr>
          <w:ilvl w:val="0"/>
          <w:numId w:val="5"/>
        </w:numPr>
        <w:ind w:firstLine="640"/>
      </w:pPr>
      <w:r>
        <w:rPr>
          <w:rFonts w:hint="eastAsia"/>
        </w:rPr>
        <w:t>目的意义</w:t>
      </w:r>
    </w:p>
    <w:p>
      <w:pPr>
        <w:ind w:firstLine="640"/>
      </w:pPr>
      <w:r>
        <w:rPr>
          <w:rFonts w:hint="eastAsia"/>
        </w:rPr>
        <w:t>在减碳发展与低碳转型的宏观政策背景和趋势发展下，建立与国际接轨的低碳供应链企业评价指标体系，填补行业空白，为各企业低碳化进程提供标杆及可比性，帮助企业结合自身发展目标和碳排放现状确立目标，使供应链企业在不降低经济效益的同时实现产品/服务碳足迹减少；对推动企业节能降耗、推进低碳技术应用、提高企业低碳化水平等具有重要的意义和作用。</w:t>
      </w:r>
    </w:p>
    <w:p>
      <w:pPr>
        <w:pStyle w:val="3"/>
        <w:ind w:firstLine="640"/>
      </w:pPr>
      <w:r>
        <w:rPr>
          <w:rFonts w:hint="eastAsia"/>
        </w:rPr>
        <w:t>二、工作简况</w:t>
      </w:r>
    </w:p>
    <w:p>
      <w:pPr>
        <w:pStyle w:val="4"/>
        <w:ind w:firstLine="640"/>
      </w:pPr>
      <w:bookmarkStart w:id="0" w:name="_Toc11416288"/>
      <w:r>
        <w:rPr>
          <w:rFonts w:hint="eastAsia"/>
        </w:rPr>
        <w:t>（一）</w:t>
      </w:r>
      <w:r>
        <w:t>任务来源</w:t>
      </w:r>
      <w:bookmarkEnd w:id="0"/>
    </w:p>
    <w:p>
      <w:pPr>
        <w:ind w:firstLine="640"/>
        <w:rPr>
          <w:rFonts w:cs="仿宋_GB2312"/>
        </w:rPr>
      </w:pPr>
      <w:r>
        <w:rPr>
          <w:rFonts w:hint="eastAsia" w:cs="仿宋_GB2312"/>
        </w:rPr>
        <w:t>根据国家标准化管理委员会官网发布《关于下达2022年度国家级服务业标准化试点项目的通知》，前海合作区“绿色、智慧物流与供应链服务标准化”项目入选国家级服务业标准化试点项目，《低碳供应链企业评价指标体系》团体标准作为试点项目之一于2022年7月批准立项，计划完成时限为24个月。</w:t>
      </w:r>
    </w:p>
    <w:p>
      <w:pPr>
        <w:pStyle w:val="4"/>
        <w:ind w:firstLine="640"/>
      </w:pPr>
      <w:r>
        <w:rPr>
          <w:rFonts w:hint="eastAsia"/>
        </w:rPr>
        <w:t>（二）主要工作过程</w:t>
      </w:r>
    </w:p>
    <w:p>
      <w:pPr>
        <w:ind w:firstLine="640"/>
        <w:rPr>
          <w:rFonts w:cs="仿宋_GB2312"/>
        </w:rPr>
      </w:pPr>
      <w:r>
        <w:rPr>
          <w:rFonts w:hint="eastAsia" w:cs="仿宋_GB2312"/>
        </w:rPr>
        <w:t>本标准的编制过程主要经历以下几个阶段：</w:t>
      </w:r>
    </w:p>
    <w:p>
      <w:pPr>
        <w:ind w:firstLine="643"/>
        <w:rPr>
          <w:rFonts w:cs="仿宋_GB2312"/>
          <w:b/>
          <w:bCs/>
        </w:rPr>
      </w:pPr>
      <w:r>
        <w:rPr>
          <w:rFonts w:hint="eastAsia" w:cs="仿宋_GB2312"/>
          <w:b/>
          <w:bCs/>
        </w:rPr>
        <w:t>1.预研阶段</w:t>
      </w:r>
    </w:p>
    <w:p>
      <w:pPr>
        <w:ind w:firstLine="640"/>
        <w:rPr>
          <w:rFonts w:cs="仿宋_GB2312"/>
        </w:rPr>
      </w:pPr>
      <w:r>
        <w:rPr>
          <w:rFonts w:hint="eastAsia" w:cs="仿宋_GB2312"/>
        </w:rPr>
        <w:t>2022年7月，标准立项后，前海管理局作为归口管理单位和标准牵头单位，与标准起草组各相关方积极沟通和交流标准制定的思路和框架。</w:t>
      </w:r>
    </w:p>
    <w:p>
      <w:pPr>
        <w:ind w:firstLine="643"/>
        <w:rPr>
          <w:rFonts w:cs="仿宋_GB2312"/>
          <w:b/>
          <w:bCs/>
        </w:rPr>
      </w:pPr>
      <w:r>
        <w:rPr>
          <w:rFonts w:hint="eastAsia" w:cs="仿宋_GB2312"/>
          <w:b/>
          <w:bCs/>
        </w:rPr>
        <w:t>2.起草阶段</w:t>
      </w:r>
    </w:p>
    <w:p>
      <w:pPr>
        <w:ind w:firstLine="640"/>
        <w:rPr>
          <w:rFonts w:cs="仿宋_GB2312"/>
        </w:rPr>
      </w:pPr>
      <w:r>
        <w:rPr>
          <w:rFonts w:hint="eastAsia" w:cs="仿宋_GB2312"/>
        </w:rPr>
        <w:t>2022年8月，前海管理局作为标准牵头单位，征集标准起草组成员，组建标准起草组，确定了编制人员名单及主要职责。编写组主要成员召开首次工作会议，首先，简单介绍了本标准的前期工作情况，对标准编制起草进行了宣贯，学习了标准编写有关管理规则和文件，熟悉标准起草原则、要求和注意事项，为更好完成标准起草打下基础。其次，讨论了《低碳供应链企业评价指标体系》大纲，商讨了起草组任务分配的具体工作内容，明确了起草方案和完成日期，并就下一步工作计划及分工安排进行了部署。</w:t>
      </w:r>
    </w:p>
    <w:p>
      <w:pPr>
        <w:ind w:firstLine="640"/>
        <w:rPr>
          <w:rFonts w:cs="仿宋_GB2312"/>
        </w:rPr>
      </w:pPr>
      <w:r>
        <w:rPr>
          <w:rFonts w:hint="eastAsia" w:cs="仿宋_GB2312"/>
        </w:rPr>
        <w:t>2022年9月-12月，标准起草组在大纲的基础上，收集、整理、分析文献资料，形成《低碳供应链企业评价指标体系》草案稿。</w:t>
      </w:r>
    </w:p>
    <w:p>
      <w:pPr>
        <w:ind w:firstLine="640"/>
        <w:rPr>
          <w:rFonts w:cs="仿宋_GB2312"/>
        </w:rPr>
      </w:pPr>
      <w:r>
        <w:rPr>
          <w:rFonts w:hint="eastAsia" w:cs="仿宋_GB2312"/>
        </w:rPr>
        <w:t>2023年1月-2月，修改完善标准草案，对标准草案中的部分技术内容进行了研究讨论，并明确了修改内容和方向。</w:t>
      </w:r>
    </w:p>
    <w:p>
      <w:pPr>
        <w:ind w:firstLine="640"/>
        <w:rPr>
          <w:rFonts w:cs="仿宋_GB2312"/>
        </w:rPr>
      </w:pPr>
      <w:r>
        <w:rPr>
          <w:rFonts w:hint="eastAsia" w:cs="仿宋_GB2312"/>
        </w:rPr>
        <w:t>2023年3月-4月，继续开展国内外文献搜集整理、分析，通过资料、电话、问卷、现场调研多家供应链企业，在调研和分析的基础上，形成《低碳供应链企业评价指标体系》（送审稿）。</w:t>
      </w:r>
    </w:p>
    <w:p>
      <w:pPr>
        <w:ind w:firstLine="640"/>
        <w:rPr>
          <w:rFonts w:cs="仿宋_GB2312"/>
        </w:rPr>
      </w:pPr>
      <w:r>
        <w:rPr>
          <w:rFonts w:hint="eastAsia" w:cs="仿宋_GB2312"/>
        </w:rPr>
        <w:t>2023年5月-6月，对送审稿语言表述的准确性、文件引用及术语表述的规范性进行修改、完善，逐个指标进行研讨，形成完善的修改建议。</w:t>
      </w:r>
    </w:p>
    <w:p>
      <w:pPr>
        <w:ind w:firstLine="640"/>
        <w:rPr>
          <w:rFonts w:cs="仿宋_GB2312"/>
        </w:rPr>
      </w:pPr>
      <w:r>
        <w:rPr>
          <w:rFonts w:hint="eastAsia" w:cs="仿宋_GB2312"/>
        </w:rPr>
        <w:t>2023年7-8月，起草组召开了征求意见稿内部审查会，并邀请相关行业专家进行技术指导，起草组按照会议提出的意见，进行修改完善，形成《低碳供应链企业评价指标体系》（征求意见稿）及编制说明。</w:t>
      </w:r>
    </w:p>
    <w:p>
      <w:pPr>
        <w:ind w:firstLine="643"/>
        <w:rPr>
          <w:rFonts w:cs="仿宋_GB2312"/>
          <w:b/>
          <w:bCs/>
        </w:rPr>
      </w:pPr>
      <w:r>
        <w:rPr>
          <w:rFonts w:hint="eastAsia" w:cs="仿宋_GB2312"/>
          <w:b/>
          <w:bCs/>
        </w:rPr>
        <w:t>3.调研阶段</w:t>
      </w:r>
    </w:p>
    <w:p>
      <w:pPr>
        <w:ind w:firstLine="640"/>
        <w:rPr>
          <w:rFonts w:cs="仿宋_GB2312"/>
        </w:rPr>
      </w:pPr>
      <w:r>
        <w:rPr>
          <w:rFonts w:hint="eastAsia" w:cs="仿宋_GB2312"/>
        </w:rPr>
        <w:t>3.1文献调研</w:t>
      </w:r>
    </w:p>
    <w:p>
      <w:pPr>
        <w:ind w:firstLine="640"/>
        <w:rPr>
          <w:rFonts w:cs="仿宋_GB2312"/>
        </w:rPr>
      </w:pPr>
      <w:r>
        <w:rPr>
          <w:rFonts w:hint="eastAsia" w:cs="仿宋_GB2312"/>
        </w:rPr>
        <w:t>为了更好地支撑《低碳供应链企业评价指标体系》，起草组查阅了我国有关低碳、供应链等方面的标准、研究论文等资料，通过检索“低碳”、“供应链”、“绿色”、“供应链管理”、“绿色供应链”、“低碳采购”、“低碳生产服务”、“低碳流通”、“低碳回收”、“低碳合作”等关键词，重点收集分析了低碳供应链、绿色供应链相关的论文及标准情况。</w:t>
      </w:r>
    </w:p>
    <w:p>
      <w:pPr>
        <w:ind w:firstLine="640"/>
        <w:rPr>
          <w:rFonts w:cs="仿宋_GB2312"/>
        </w:rPr>
      </w:pPr>
      <w:r>
        <w:rPr>
          <w:rFonts w:hint="eastAsia" w:cs="仿宋_GB2312"/>
        </w:rPr>
        <w:t>3.2现场调研</w:t>
      </w:r>
    </w:p>
    <w:p>
      <w:pPr>
        <w:ind w:firstLine="640"/>
        <w:rPr>
          <w:rFonts w:hint="eastAsia" w:cs="仿宋_GB2312"/>
        </w:rPr>
      </w:pPr>
      <w:r>
        <w:rPr>
          <w:rFonts w:hint="eastAsia" w:cs="仿宋_GB2312"/>
        </w:rPr>
        <w:t>标准起草组对多家供应链企业进行了实地调研，听取了企业的低碳节能工作成果和经验，并将成熟经验和成果吸纳到标准中。</w:t>
      </w:r>
    </w:p>
    <w:p>
      <w:pPr>
        <w:ind w:firstLine="640"/>
        <w:rPr>
          <w:rFonts w:cs="仿宋_GB2312"/>
        </w:rPr>
      </w:pPr>
      <w:r>
        <w:rPr>
          <w:rFonts w:hint="eastAsia" w:cs="仿宋_GB2312"/>
        </w:rPr>
        <w:t>低碳采购方面，企业从可再生能源使用、运输环节温室气体排放等多个维度制定供应商环境管理目标，同时注重培养供应商的减碳意识和能力；低碳生产服务方面，企业从管理和技术等层面进行节能创新与实践，在研发设计、生产制造等多个方面，践行高能效、低排放的运营模式；低碳流通方面，企业通过多式联运、优化运输方式来推动减排；数字赋能方面，企业采用数字技术实现自身产品全生命周期的碳数据管理；社会效益方面，企业积极参与多项标准的制订。</w:t>
      </w:r>
    </w:p>
    <w:p>
      <w:pPr>
        <w:ind w:firstLine="640"/>
        <w:rPr>
          <w:rFonts w:cs="仿宋_GB2312"/>
        </w:rPr>
      </w:pPr>
      <w:r>
        <w:rPr>
          <w:rFonts w:hint="eastAsia" w:cs="仿宋_GB2312"/>
        </w:rPr>
        <w:t>3.3问卷调研</w:t>
      </w:r>
    </w:p>
    <w:p>
      <w:pPr>
        <w:ind w:firstLine="640"/>
        <w:rPr>
          <w:rFonts w:cs="仿宋_GB2312"/>
        </w:rPr>
      </w:pPr>
      <w:r>
        <w:rPr>
          <w:rFonts w:hint="eastAsia" w:cs="仿宋_GB2312"/>
        </w:rPr>
        <w:t>标准起草组设计调研问卷并对前海50家重点供应链企业开展问卷调查，收集和分析企业低碳实践。深圳市递四方速递有限公司制定并落实低碳采购方案，对供应商提出低碳要求，同时积极推广低碳包装；招商局港口集团股份有限公司采用集团节能环保管理系统，同时着手开发能源及碳排放管理平台，提升数字化水平。另外，大多数企业都涉及低碳运力，在运输工过程中采用新能源车辆，降低碳排放和运输成本。</w:t>
      </w:r>
    </w:p>
    <w:p>
      <w:pPr>
        <w:pStyle w:val="3"/>
        <w:numPr>
          <w:ilvl w:val="0"/>
          <w:numId w:val="6"/>
        </w:numPr>
        <w:ind w:firstLine="640"/>
      </w:pPr>
      <w:r>
        <w:rPr>
          <w:rFonts w:hint="eastAsia"/>
        </w:rPr>
        <w:t>标准编制原则</w:t>
      </w:r>
    </w:p>
    <w:p>
      <w:pPr>
        <w:ind w:firstLine="640"/>
      </w:pPr>
      <w:r>
        <w:rPr>
          <w:rFonts w:hint="eastAsia"/>
        </w:rPr>
        <w:t>本标准的编制遵循完整性、相关性和一致性原则，并按照GB/T1.1-2020《标准化工作导则第1部分：标准化文件的结构和起草规则》的要求和规定起草。</w:t>
      </w:r>
    </w:p>
    <w:p>
      <w:pPr>
        <w:pStyle w:val="3"/>
        <w:numPr>
          <w:ilvl w:val="0"/>
          <w:numId w:val="6"/>
        </w:numPr>
        <w:ind w:firstLine="640"/>
      </w:pPr>
      <w:r>
        <w:rPr>
          <w:rFonts w:hint="eastAsia"/>
        </w:rPr>
        <w:t>标准主要内容及确定依据</w:t>
      </w:r>
    </w:p>
    <w:p>
      <w:pPr>
        <w:pStyle w:val="4"/>
        <w:ind w:firstLine="640"/>
      </w:pPr>
      <w:r>
        <w:rPr>
          <w:rFonts w:hint="eastAsia"/>
        </w:rPr>
        <w:t>（一）范围</w:t>
      </w:r>
    </w:p>
    <w:p>
      <w:pPr>
        <w:ind w:firstLine="640"/>
        <w:rPr>
          <w:rFonts w:cs="仿宋_GB2312"/>
        </w:rPr>
      </w:pPr>
      <w:r>
        <w:rPr>
          <w:rFonts w:hint="eastAsia" w:cs="仿宋_GB2312"/>
        </w:rPr>
        <w:t>本标准规定了低碳供应链企业的基本要求及组织管理、低碳采购、低碳生产服务、低碳流通、社会效益等方面的评价指标。本标准适用于供应链企业。</w:t>
      </w:r>
    </w:p>
    <w:p>
      <w:pPr>
        <w:ind w:firstLine="640"/>
        <w:rPr>
          <w:rFonts w:cs="仿宋_GB2312"/>
        </w:rPr>
      </w:pPr>
      <w:r>
        <w:rPr>
          <w:rFonts w:hint="eastAsia" w:cs="仿宋_GB2312"/>
        </w:rPr>
        <w:t>确定依据：本标准框架主要参考DB4403/T10—2019绿色供应链企业评价，同时经企业调研和专家讨论，确定评价指标体系包含组织管理、低碳采购、低碳生产服务、低碳流通、社会效益六项一级评价指标。</w:t>
      </w:r>
    </w:p>
    <w:p>
      <w:pPr>
        <w:pStyle w:val="4"/>
        <w:ind w:firstLine="640"/>
      </w:pPr>
      <w:r>
        <w:rPr>
          <w:rFonts w:hint="eastAsia"/>
        </w:rPr>
        <w:t>（二）术语和定义</w:t>
      </w:r>
    </w:p>
    <w:p>
      <w:pPr>
        <w:ind w:firstLine="640"/>
        <w:rPr>
          <w:rFonts w:cs="仿宋_GB2312"/>
        </w:rPr>
      </w:pPr>
      <w:r>
        <w:rPr>
          <w:rFonts w:hint="eastAsia" w:cs="仿宋_GB2312"/>
        </w:rPr>
        <w:t>1.供应链supply chain：生产及流通过程中，围绕核心企业，将所涉及的原材料供应商、制造商、分销商、零售商、最终用户等成员通过上游或下游成员链接所形成的网链结构。</w:t>
      </w:r>
    </w:p>
    <w:p>
      <w:pPr>
        <w:ind w:firstLine="640"/>
        <w:rPr>
          <w:rFonts w:cs="仿宋_GB2312"/>
        </w:rPr>
      </w:pPr>
      <w:r>
        <w:rPr>
          <w:rFonts w:hint="eastAsia" w:cs="仿宋_GB2312"/>
        </w:rPr>
        <w:t>确定依据：本术语提出主要依据GB/T 26337.2—2011供应链管理 第2部分：SCM术语，术语定义经企业调研与专家论证。</w:t>
      </w:r>
    </w:p>
    <w:p>
      <w:pPr>
        <w:ind w:firstLine="640"/>
        <w:rPr>
          <w:rFonts w:cs="仿宋_GB2312"/>
        </w:rPr>
      </w:pPr>
      <w:r>
        <w:rPr>
          <w:rFonts w:hint="eastAsia" w:cs="仿宋_GB2312"/>
        </w:rPr>
        <w:t>2.低碳供应链low-carbon supply chains：在供应链运作的全过程中通过运用适当的材料和合理的技术手段降低碳排放量，包括采购、运输、生产、销售、回收等环节。</w:t>
      </w:r>
    </w:p>
    <w:p>
      <w:pPr>
        <w:ind w:firstLine="640"/>
        <w:rPr>
          <w:rFonts w:cs="仿宋_GB2312"/>
        </w:rPr>
      </w:pPr>
      <w:r>
        <w:rPr>
          <w:rFonts w:hint="eastAsia" w:cs="仿宋_GB2312"/>
        </w:rPr>
        <w:t>确定依据：本术语提出主要参考中国知网发布的相关文献，并做适当修改，术语定义经企业调研与专家论证。</w:t>
      </w:r>
    </w:p>
    <w:p>
      <w:pPr>
        <w:ind w:firstLine="640"/>
        <w:rPr>
          <w:rFonts w:cs="仿宋_GB2312"/>
        </w:rPr>
      </w:pPr>
      <w:r>
        <w:rPr>
          <w:rFonts w:hint="eastAsia" w:cs="仿宋_GB2312"/>
          <w:lang w:val="en-US" w:eastAsia="zh-CN"/>
        </w:rPr>
        <w:t>3</w:t>
      </w:r>
      <w:r>
        <w:rPr>
          <w:rFonts w:hint="eastAsia" w:cs="仿宋_GB2312"/>
        </w:rPr>
        <w:t>.碳排放carbon emission：碳排放单位在核算边界内生产、活动和服务过程中各个环节产生的所有二氧化碳排放量，以二氧化碳当量形式表示。</w:t>
      </w:r>
    </w:p>
    <w:p>
      <w:pPr>
        <w:ind w:firstLine="640"/>
        <w:rPr>
          <w:rFonts w:cs="仿宋_GB2312"/>
        </w:rPr>
      </w:pPr>
      <w:r>
        <w:rPr>
          <w:rFonts w:hint="eastAsia" w:cs="仿宋_GB2312"/>
        </w:rPr>
        <w:t>确定依据：本术语提出主要依据GB/T 32150-2015工业企业温室气体排放核算和报告通则，定义3.7，并做适当修改和调整，术语定义经企业调研及专家论证。</w:t>
      </w:r>
    </w:p>
    <w:p>
      <w:pPr>
        <w:ind w:firstLine="640"/>
        <w:rPr>
          <w:rFonts w:cs="仿宋_GB2312"/>
        </w:rPr>
      </w:pPr>
      <w:r>
        <w:rPr>
          <w:rFonts w:hint="eastAsia" w:cs="仿宋_GB2312"/>
          <w:lang w:val="en-US" w:eastAsia="zh-CN"/>
        </w:rPr>
        <w:t>4</w:t>
      </w:r>
      <w:r>
        <w:rPr>
          <w:rFonts w:hint="eastAsia" w:cs="仿宋_GB2312"/>
        </w:rPr>
        <w:t>.低碳采购low</w:t>
      </w:r>
      <w:bookmarkStart w:id="8" w:name="_GoBack"/>
      <w:bookmarkEnd w:id="8"/>
      <w:r>
        <w:rPr>
          <w:rFonts w:hint="eastAsia" w:cs="仿宋_GB2312"/>
        </w:rPr>
        <w:t>-carbon procurement：企业在采购活动中，推广绿色低碳理念，充分考虑环境保护、资源节约、安全健康、循环低碳和回收促进，优先采购和使用节能、节水、节材等有利于环境保护的原材料、产品和服务的行为。</w:t>
      </w:r>
    </w:p>
    <w:p>
      <w:pPr>
        <w:ind w:firstLine="640"/>
        <w:rPr>
          <w:rFonts w:cs="仿宋_GB2312"/>
        </w:rPr>
      </w:pPr>
      <w:r>
        <w:rPr>
          <w:rFonts w:hint="eastAsia" w:cs="仿宋_GB2312"/>
        </w:rPr>
        <w:t>确定依据：本术语提出主要依据GB/T 33635-2017，绿色制造 制造企业绿色供应链管理 导则，定义3.27，并作适当修改和调整，术语定义经企业调研及专家论证。</w:t>
      </w:r>
    </w:p>
    <w:p>
      <w:pPr>
        <w:ind w:firstLine="640"/>
        <w:rPr>
          <w:rFonts w:cs="仿宋_GB2312"/>
        </w:rPr>
      </w:pPr>
      <w:r>
        <w:rPr>
          <w:rFonts w:hint="eastAsia" w:cs="仿宋_GB2312"/>
          <w:lang w:val="en-US" w:eastAsia="zh-CN"/>
        </w:rPr>
        <w:t>5</w:t>
      </w:r>
      <w:r>
        <w:rPr>
          <w:rFonts w:hint="eastAsia" w:cs="仿宋_GB2312"/>
        </w:rPr>
        <w:t>.全生命周期whole life cycle：产品（或服务）系统中前后衔接的一系列阶段，从自然界或从自然资源中获取原材料，设计、生产、运输、使用</w:t>
      </w:r>
      <w:r>
        <w:rPr>
          <w:rFonts w:hint="eastAsia" w:cs="仿宋_GB2312"/>
          <w:lang w:eastAsia="zh-CN"/>
        </w:rPr>
        <w:t>和</w:t>
      </w:r>
      <w:r>
        <w:rPr>
          <w:rFonts w:hint="eastAsia" w:cs="仿宋_GB2312"/>
        </w:rPr>
        <w:t>最终处置。</w:t>
      </w:r>
    </w:p>
    <w:p>
      <w:pPr>
        <w:ind w:firstLine="640"/>
        <w:rPr>
          <w:rFonts w:cs="仿宋_GB2312"/>
        </w:rPr>
      </w:pPr>
      <w:r>
        <w:rPr>
          <w:rFonts w:hint="eastAsia" w:cs="仿宋_GB2312"/>
        </w:rPr>
        <w:t>确定依据：本术语提出主要依据GB/T 24001-2016环境管理体系 要求及使用指南，定义3.3.3，并做适当修改和调整，术语定义经企业调研及专家论证。</w:t>
      </w:r>
    </w:p>
    <w:p>
      <w:pPr>
        <w:ind w:firstLine="640"/>
        <w:rPr>
          <w:rFonts w:cs="仿宋_GB2312"/>
        </w:rPr>
      </w:pPr>
      <w:r>
        <w:rPr>
          <w:rFonts w:hint="eastAsia" w:cs="仿宋_GB2312"/>
          <w:lang w:val="en-US" w:eastAsia="zh-CN"/>
        </w:rPr>
        <w:t>6</w:t>
      </w:r>
      <w:r>
        <w:rPr>
          <w:rFonts w:hint="eastAsia" w:cs="仿宋_GB2312"/>
        </w:rPr>
        <w:t>.低碳包装low-carbon packaging：在包装产品全生命周期中，在满足包装功能要求的前提下，对人体健康和生态环境危害小、资源消耗少、碳排放量少的包装。</w:t>
      </w:r>
    </w:p>
    <w:p>
      <w:pPr>
        <w:ind w:firstLine="640"/>
        <w:rPr>
          <w:rFonts w:cs="仿宋_GB2312"/>
        </w:rPr>
      </w:pPr>
      <w:r>
        <w:rPr>
          <w:rFonts w:hint="eastAsia" w:cs="仿宋_GB2312"/>
        </w:rPr>
        <w:t>确定依据：本术语提出主要依据GB/T 37422 -2019，绿色包装评价方法与准则，3.1，并做适当修改和调整，术语定义经企业调研及专家论证。</w:t>
      </w:r>
    </w:p>
    <w:p>
      <w:pPr>
        <w:pStyle w:val="4"/>
        <w:ind w:firstLine="640"/>
      </w:pPr>
      <w:r>
        <w:rPr>
          <w:rFonts w:hint="eastAsia"/>
        </w:rPr>
        <w:t>（三）评价指标体系</w:t>
      </w:r>
    </w:p>
    <w:p>
      <w:pPr>
        <w:ind w:firstLine="640"/>
        <w:rPr>
          <w:rFonts w:cs="仿宋_GB2312"/>
        </w:rPr>
      </w:pPr>
      <w:r>
        <w:rPr>
          <w:rFonts w:hint="eastAsia" w:cs="仿宋_GB2312"/>
        </w:rPr>
        <w:t>1.组织管理</w:t>
      </w:r>
    </w:p>
    <w:p>
      <w:pPr>
        <w:ind w:firstLine="640"/>
        <w:rPr>
          <w:rFonts w:cs="仿宋_GB2312"/>
        </w:rPr>
      </w:pPr>
      <w:r>
        <w:rPr>
          <w:rFonts w:hint="eastAsia" w:cs="仿宋_GB2312"/>
        </w:rPr>
        <w:t>本项指标包括：</w:t>
      </w:r>
    </w:p>
    <w:p>
      <w:pPr>
        <w:ind w:firstLine="640"/>
        <w:rPr>
          <w:rFonts w:cs="仿宋_GB2312"/>
        </w:rPr>
      </w:pPr>
      <w:r>
        <w:rPr>
          <w:rFonts w:hint="eastAsia" w:cs="仿宋_GB2312"/>
        </w:rPr>
        <w:t>1.1规划目标：企业确立低碳发展战略规划、方针及阶段性目标，并在经营中贯彻落实；</w:t>
      </w:r>
    </w:p>
    <w:p>
      <w:pPr>
        <w:ind w:firstLine="640"/>
        <w:rPr>
          <w:rFonts w:cs="仿宋_GB2312"/>
        </w:rPr>
      </w:pPr>
      <w:r>
        <w:rPr>
          <w:rFonts w:hint="eastAsia" w:cs="仿宋_GB2312"/>
        </w:rPr>
        <w:t>1.2组织保障：企业低碳管理相关工作应由最高管理者或管理层授权的管理者代表主导，并有相应的职能部门负责执行管理；</w:t>
      </w:r>
    </w:p>
    <w:p>
      <w:pPr>
        <w:ind w:firstLine="640"/>
        <w:rPr>
          <w:rFonts w:cs="仿宋_GB2312"/>
        </w:rPr>
      </w:pPr>
      <w:r>
        <w:rPr>
          <w:rFonts w:hint="eastAsia" w:cs="仿宋_GB2312"/>
        </w:rPr>
        <w:t>1.3管理制度：有完善的节能减碳、绿色环保等相关管理制度并已执行；</w:t>
      </w:r>
    </w:p>
    <w:p>
      <w:pPr>
        <w:ind w:firstLine="640"/>
        <w:rPr>
          <w:rFonts w:cs="仿宋_GB2312"/>
        </w:rPr>
      </w:pPr>
      <w:r>
        <w:rPr>
          <w:rFonts w:hint="eastAsia" w:cs="仿宋_GB2312"/>
        </w:rPr>
        <w:t>1.4低碳管理：企业通过自主监测或与外部机构合作等方式，建立碳排放核算监测体系或碳数据管理平台，实现企业碳排放识别、核算、分析；</w:t>
      </w:r>
    </w:p>
    <w:p>
      <w:pPr>
        <w:ind w:firstLine="640"/>
        <w:rPr>
          <w:rFonts w:cs="仿宋_GB2312"/>
        </w:rPr>
      </w:pPr>
      <w:r>
        <w:rPr>
          <w:rFonts w:hint="eastAsia" w:cs="仿宋_GB2312"/>
        </w:rPr>
        <w:t>1.5能耗监测：企业对经营过程中的综合能耗进行监测、分析；</w:t>
      </w:r>
    </w:p>
    <w:p>
      <w:pPr>
        <w:ind w:firstLine="640"/>
        <w:rPr>
          <w:rFonts w:cs="仿宋_GB2312"/>
        </w:rPr>
      </w:pPr>
      <w:r>
        <w:rPr>
          <w:rFonts w:hint="eastAsia" w:cs="仿宋_GB2312"/>
        </w:rPr>
        <w:t>1.6培训动员：企业针对基层业务人员和中高层管理人员制定低碳相关的培训及动员计划，并保障执行效果。</w:t>
      </w:r>
    </w:p>
    <w:p>
      <w:pPr>
        <w:ind w:firstLine="640"/>
        <w:rPr>
          <w:rFonts w:cs="仿宋_GB2312"/>
        </w:rPr>
      </w:pPr>
      <w:r>
        <w:rPr>
          <w:rFonts w:hint="eastAsia" w:cs="仿宋_GB2312"/>
        </w:rPr>
        <w:t>确定依据：参考DB4403/T 10—2019《绿色供应链企业评价》、GB/T 24001—2016《环境管理体系 要求及使用指南》、GB/T 33635-2017《绿色制造 制造企业绿色供应链管理 导则》、DB11/T 1533—2018《企业低碳运行管理通则》，以及企业调研及多次专家论证。</w:t>
      </w:r>
    </w:p>
    <w:p>
      <w:pPr>
        <w:ind w:firstLine="640"/>
        <w:rPr>
          <w:rFonts w:cs="仿宋_GB2312"/>
        </w:rPr>
      </w:pPr>
      <w:r>
        <w:rPr>
          <w:rFonts w:hint="eastAsia" w:cs="仿宋_GB2312"/>
        </w:rPr>
        <w:t>2.低碳采购</w:t>
      </w:r>
    </w:p>
    <w:p>
      <w:pPr>
        <w:ind w:firstLine="640"/>
        <w:rPr>
          <w:rFonts w:cs="仿宋_GB2312"/>
        </w:rPr>
      </w:pPr>
      <w:r>
        <w:rPr>
          <w:rFonts w:hint="eastAsia" w:cs="仿宋_GB2312"/>
        </w:rPr>
        <w:t>本项指标包括：</w:t>
      </w:r>
    </w:p>
    <w:p>
      <w:pPr>
        <w:ind w:firstLine="640"/>
        <w:rPr>
          <w:rFonts w:cs="仿宋_GB2312"/>
        </w:rPr>
      </w:pPr>
      <w:r>
        <w:rPr>
          <w:rFonts w:hint="eastAsia" w:cs="仿宋_GB2312"/>
        </w:rPr>
        <w:t>2.1供应商管理：在供应商的准入条件、认证审核流程、风险评估、分类分级等供应商管理中加入低碳要求，并定期对供应商进行低碳绩效评估，积极督促供应商落实整改；</w:t>
      </w:r>
    </w:p>
    <w:p>
      <w:pPr>
        <w:ind w:firstLine="640"/>
        <w:rPr>
          <w:rFonts w:cs="仿宋_GB2312"/>
        </w:rPr>
      </w:pPr>
      <w:r>
        <w:rPr>
          <w:rFonts w:hint="eastAsia" w:cs="仿宋_GB2312"/>
        </w:rPr>
        <w:t>2.2采购选择：优先采购和使用低碳环保、资源节约、循环高效的原材料、产品和服务。</w:t>
      </w:r>
    </w:p>
    <w:p>
      <w:pPr>
        <w:ind w:firstLine="640"/>
        <w:rPr>
          <w:rFonts w:cs="仿宋_GB2312"/>
        </w:rPr>
      </w:pPr>
      <w:r>
        <w:rPr>
          <w:rFonts w:hint="eastAsia" w:cs="仿宋_GB2312"/>
        </w:rPr>
        <w:t>确定依据：参考DB4403/T 10—2019《绿色供应链企业评价》、DB12/T 662—2016《绿色供应链管理体系 实施指南》，以及企业调研及多次专家论证。</w:t>
      </w:r>
    </w:p>
    <w:p>
      <w:pPr>
        <w:ind w:firstLine="640"/>
        <w:rPr>
          <w:rFonts w:cs="仿宋_GB2312"/>
        </w:rPr>
      </w:pPr>
      <w:r>
        <w:rPr>
          <w:rFonts w:hint="eastAsia" w:cs="仿宋_GB2312"/>
        </w:rPr>
        <w:t>3.低碳生产服务</w:t>
      </w:r>
    </w:p>
    <w:p>
      <w:pPr>
        <w:ind w:firstLine="640"/>
        <w:rPr>
          <w:rFonts w:cs="仿宋_GB2312"/>
        </w:rPr>
      </w:pPr>
      <w:r>
        <w:rPr>
          <w:rFonts w:hint="eastAsia" w:cs="仿宋_GB2312"/>
        </w:rPr>
        <w:t>本项指标包括：</w:t>
      </w:r>
    </w:p>
    <w:p>
      <w:pPr>
        <w:ind w:firstLine="640"/>
        <w:rPr>
          <w:rFonts w:cs="仿宋_GB2312"/>
        </w:rPr>
      </w:pPr>
      <w:r>
        <w:rPr>
          <w:rFonts w:hint="eastAsia" w:cs="仿宋_GB2312"/>
        </w:rPr>
        <w:t>3.1低碳设计：在产品或服务的全生命周期设计中体现低碳理念；</w:t>
      </w:r>
    </w:p>
    <w:p>
      <w:pPr>
        <w:ind w:firstLine="640"/>
        <w:rPr>
          <w:rFonts w:cs="仿宋_GB2312"/>
        </w:rPr>
      </w:pPr>
      <w:r>
        <w:rPr>
          <w:rFonts w:hint="eastAsia" w:cs="仿宋_GB2312"/>
        </w:rPr>
        <w:t>3.2低碳设施：企业生产（服务）相关的基础设施应从选址、建筑体形、平面布局、空间尺度、围护结构、建筑材料、采光照明、绿化及场地、能源等方面进行资源节约、减碳减排及可再生能源利用；</w:t>
      </w:r>
    </w:p>
    <w:p>
      <w:pPr>
        <w:ind w:firstLine="640"/>
        <w:rPr>
          <w:rFonts w:cs="仿宋_GB2312"/>
        </w:rPr>
      </w:pPr>
      <w:r>
        <w:rPr>
          <w:rFonts w:hint="eastAsia" w:cs="仿宋_GB2312"/>
        </w:rPr>
        <w:t>3.3低碳设备：企业应采用能耗低、能效高、排放少的专用设备、通用设备、计量设备、污染物处理设备等设备进行生产或服务；</w:t>
      </w:r>
    </w:p>
    <w:p>
      <w:pPr>
        <w:ind w:firstLine="640"/>
        <w:rPr>
          <w:rFonts w:cs="仿宋_GB2312"/>
        </w:rPr>
      </w:pPr>
      <w:r>
        <w:rPr>
          <w:rFonts w:hint="eastAsia" w:cs="仿宋_GB2312"/>
        </w:rPr>
        <w:t>3.4低碳工艺技术：在产品或服务的全生命周期中应用低碳工艺或技术，降低企业碳排放强度；</w:t>
      </w:r>
    </w:p>
    <w:p>
      <w:pPr>
        <w:ind w:firstLine="640"/>
        <w:rPr>
          <w:rFonts w:cs="仿宋_GB2312"/>
        </w:rPr>
      </w:pPr>
      <w:r>
        <w:rPr>
          <w:rFonts w:hint="eastAsia" w:cs="仿宋_GB2312"/>
        </w:rPr>
        <w:t>3.5可再生能源：企业应优化用能结构，使用太阳能、风能等可再生能源，充分利用余热余压等；</w:t>
      </w:r>
    </w:p>
    <w:p>
      <w:pPr>
        <w:ind w:firstLine="640"/>
        <w:rPr>
          <w:rFonts w:cs="仿宋_GB2312"/>
        </w:rPr>
      </w:pPr>
      <w:r>
        <w:rPr>
          <w:rFonts w:hint="eastAsia" w:cs="仿宋_GB2312"/>
        </w:rPr>
        <w:t>3.6环境排放：企业生产（服务）过程中产生的大气、水体或固体污染物、噪声、温室气体排放应符合国家法律法规及相关标准要求。</w:t>
      </w:r>
    </w:p>
    <w:p>
      <w:pPr>
        <w:ind w:firstLine="640"/>
        <w:rPr>
          <w:rFonts w:cs="仿宋_GB2312"/>
        </w:rPr>
      </w:pPr>
      <w:r>
        <w:rPr>
          <w:rFonts w:hint="eastAsia" w:cs="仿宋_GB2312"/>
        </w:rPr>
        <w:t>确定依据：参考GB/T 32150—2015《工业企业温室气体排放核算和报告通则》、DB44/T 1944—2014《碳排放管理体系 要求及使用指南》等，以及企业调研及多次专家论证。</w:t>
      </w:r>
    </w:p>
    <w:p>
      <w:pPr>
        <w:ind w:firstLine="640"/>
        <w:rPr>
          <w:rFonts w:cs="仿宋_GB2312"/>
        </w:rPr>
      </w:pPr>
      <w:r>
        <w:rPr>
          <w:rFonts w:hint="eastAsia" w:cs="仿宋_GB2312"/>
        </w:rPr>
        <w:t>4.低碳流通</w:t>
      </w:r>
    </w:p>
    <w:p>
      <w:pPr>
        <w:ind w:firstLine="640"/>
        <w:rPr>
          <w:rFonts w:cs="仿宋_GB2312"/>
        </w:rPr>
      </w:pPr>
      <w:r>
        <w:rPr>
          <w:rFonts w:hint="eastAsia" w:cs="仿宋_GB2312"/>
        </w:rPr>
        <w:t>本项指标包括：</w:t>
      </w:r>
    </w:p>
    <w:p>
      <w:pPr>
        <w:ind w:firstLine="640"/>
        <w:rPr>
          <w:rFonts w:cs="仿宋_GB2312"/>
        </w:rPr>
      </w:pPr>
      <w:r>
        <w:rPr>
          <w:rFonts w:hint="eastAsia" w:cs="仿宋_GB2312"/>
        </w:rPr>
        <w:t>4.1低碳运力：应用纯电动、混合动力、燃料电池电动、天然气、氢能源等新能源及清洁能源运力；</w:t>
      </w:r>
    </w:p>
    <w:p>
      <w:pPr>
        <w:ind w:firstLine="640"/>
        <w:rPr>
          <w:rFonts w:cs="仿宋_GB2312"/>
        </w:rPr>
      </w:pPr>
      <w:r>
        <w:rPr>
          <w:rFonts w:hint="eastAsia" w:cs="仿宋_GB2312"/>
        </w:rPr>
        <w:t>4.2低碳运输组织模式：采用带板运输、甩挂运输、公水联运、公铁联运、水水联运、集中配送、共同配送等低碳运输组织模式；</w:t>
      </w:r>
    </w:p>
    <w:p>
      <w:pPr>
        <w:ind w:firstLine="640"/>
        <w:rPr>
          <w:rFonts w:cs="仿宋_GB2312"/>
        </w:rPr>
      </w:pPr>
      <w:r>
        <w:rPr>
          <w:rFonts w:hint="eastAsia" w:cs="仿宋_GB2312"/>
        </w:rPr>
        <w:t>4.3低碳营销：在营销环节中的渠道选择、营销模式等方面体现低碳理念；</w:t>
      </w:r>
    </w:p>
    <w:p>
      <w:pPr>
        <w:ind w:firstLine="640"/>
        <w:rPr>
          <w:rFonts w:cs="仿宋_GB2312"/>
        </w:rPr>
      </w:pPr>
      <w:r>
        <w:rPr>
          <w:rFonts w:hint="eastAsia" w:cs="仿宋_GB2312"/>
        </w:rPr>
        <w:t>4.4低碳包装：采用减量化、可循环、可降解的低碳产品包装和物流包装；</w:t>
      </w:r>
    </w:p>
    <w:p>
      <w:pPr>
        <w:ind w:firstLine="640"/>
        <w:rPr>
          <w:rFonts w:cs="仿宋_GB2312"/>
        </w:rPr>
      </w:pPr>
      <w:r>
        <w:rPr>
          <w:rFonts w:hint="eastAsia" w:cs="仿宋_GB2312"/>
        </w:rPr>
        <w:t>4.5回收再利用：建立完善的回收处理体系（自建或与第三方联合回收），环保处置废弃物、损坏件、淘汰品，开展多层次、多用途的梯度利用。</w:t>
      </w:r>
    </w:p>
    <w:p>
      <w:pPr>
        <w:ind w:firstLine="640"/>
        <w:rPr>
          <w:rFonts w:cs="仿宋_GB2312"/>
        </w:rPr>
      </w:pPr>
      <w:r>
        <w:rPr>
          <w:rFonts w:hint="eastAsia" w:cs="仿宋_GB2312"/>
        </w:rPr>
        <w:t>确定依据：参考GB/T 37422-2019《绿色包装评价方法与准则》，以及企业调研及多次专家论证。</w:t>
      </w:r>
    </w:p>
    <w:p>
      <w:pPr>
        <w:ind w:firstLine="640"/>
        <w:rPr>
          <w:rFonts w:cs="仿宋_GB2312"/>
        </w:rPr>
      </w:pPr>
      <w:r>
        <w:rPr>
          <w:rFonts w:hint="eastAsia" w:cs="仿宋_GB2312"/>
        </w:rPr>
        <w:t>5.数字赋能</w:t>
      </w:r>
    </w:p>
    <w:p>
      <w:pPr>
        <w:ind w:firstLine="640"/>
        <w:rPr>
          <w:rFonts w:cs="仿宋_GB2312"/>
        </w:rPr>
      </w:pPr>
      <w:r>
        <w:rPr>
          <w:rFonts w:hint="eastAsia" w:cs="仿宋_GB2312"/>
        </w:rPr>
        <w:t>本项指标包括：</w:t>
      </w:r>
    </w:p>
    <w:p>
      <w:pPr>
        <w:ind w:firstLine="640"/>
        <w:rPr>
          <w:rFonts w:cs="仿宋_GB2312"/>
        </w:rPr>
      </w:pPr>
      <w:r>
        <w:rPr>
          <w:rFonts w:hint="eastAsia" w:cs="仿宋_GB2312"/>
        </w:rPr>
        <w:t>5.1信息化系统：建立覆盖各业务环节的高效协同信息化管理系统，可实现智能辅助、系统集成、用户交互、外部系统接入功能；</w:t>
      </w:r>
    </w:p>
    <w:p>
      <w:pPr>
        <w:ind w:firstLine="640"/>
        <w:rPr>
          <w:rFonts w:cs="仿宋_GB2312"/>
        </w:rPr>
      </w:pPr>
      <w:r>
        <w:rPr>
          <w:rFonts w:hint="eastAsia" w:cs="仿宋_GB2312"/>
        </w:rPr>
        <w:t>5.2技术及设备应用：在实际业务场景中应用</w:t>
      </w:r>
      <w:r>
        <w:rPr>
          <w:rFonts w:cs="仿宋_GB2312"/>
        </w:rPr>
        <w:t>5G、人工智能、大数据、云计算等新一代信息技术及机器人、自动化生产线、无人车等智能化设备</w:t>
      </w:r>
      <w:r>
        <w:rPr>
          <w:rFonts w:hint="eastAsia" w:cs="仿宋_GB2312"/>
        </w:rPr>
        <w:t>。</w:t>
      </w:r>
    </w:p>
    <w:p>
      <w:pPr>
        <w:ind w:firstLine="640"/>
        <w:rPr>
          <w:rFonts w:cs="仿宋_GB2312"/>
        </w:rPr>
      </w:pPr>
      <w:r>
        <w:rPr>
          <w:rFonts w:hint="eastAsia" w:cs="仿宋_GB2312"/>
        </w:rPr>
        <w:t>确定依据：企业调研及多次专家论证。</w:t>
      </w:r>
    </w:p>
    <w:p>
      <w:pPr>
        <w:ind w:firstLine="640"/>
        <w:rPr>
          <w:rFonts w:cs="仿宋_GB2312"/>
        </w:rPr>
      </w:pPr>
      <w:r>
        <w:rPr>
          <w:rFonts w:hint="eastAsia" w:cs="仿宋_GB2312"/>
        </w:rPr>
        <w:t>6.社会效益</w:t>
      </w:r>
    </w:p>
    <w:p>
      <w:pPr>
        <w:ind w:firstLine="640"/>
        <w:rPr>
          <w:rFonts w:cs="仿宋_GB2312"/>
        </w:rPr>
      </w:pPr>
      <w:r>
        <w:rPr>
          <w:rFonts w:hint="eastAsia" w:cs="仿宋_GB2312"/>
        </w:rPr>
        <w:t>本项指标包括：</w:t>
      </w:r>
    </w:p>
    <w:p>
      <w:pPr>
        <w:ind w:firstLine="640"/>
        <w:rPr>
          <w:rFonts w:cs="仿宋_GB2312"/>
        </w:rPr>
      </w:pPr>
      <w:r>
        <w:rPr>
          <w:rFonts w:hint="eastAsia" w:cs="仿宋_GB2312"/>
        </w:rPr>
        <w:t>6.1信息披露：企业通过年度报告、</w:t>
      </w:r>
      <w:r>
        <w:rPr>
          <w:rFonts w:cs="仿宋_GB2312"/>
        </w:rPr>
        <w:t>ESG、白皮书、可持续发展报告等形式向社会公开企业低碳实践信息</w:t>
      </w:r>
      <w:r>
        <w:rPr>
          <w:rFonts w:hint="eastAsia" w:cs="仿宋_GB2312"/>
        </w:rPr>
        <w:t>；</w:t>
      </w:r>
    </w:p>
    <w:p>
      <w:pPr>
        <w:ind w:firstLine="640"/>
        <w:rPr>
          <w:rFonts w:cs="仿宋_GB2312"/>
        </w:rPr>
      </w:pPr>
      <w:r>
        <w:rPr>
          <w:rFonts w:hint="eastAsia" w:cs="仿宋_GB2312"/>
        </w:rPr>
        <w:t>6.2碳普惠：采用商业激励、培训引导等方式对供应链上下游及客户进行碳普惠；</w:t>
      </w:r>
    </w:p>
    <w:p>
      <w:pPr>
        <w:ind w:firstLine="640"/>
        <w:rPr>
          <w:rFonts w:cs="仿宋_GB2312"/>
        </w:rPr>
      </w:pPr>
      <w:r>
        <w:rPr>
          <w:rFonts w:hint="eastAsia" w:cs="仿宋_GB2312"/>
        </w:rPr>
        <w:t>6.4低碳合作：开展标准编制、课题研究、行业倡议等低碳供应链领域的公益性合作。</w:t>
      </w:r>
    </w:p>
    <w:p>
      <w:pPr>
        <w:ind w:firstLine="640"/>
        <w:rPr>
          <w:rFonts w:cs="仿宋_GB2312"/>
        </w:rPr>
      </w:pPr>
      <w:r>
        <w:rPr>
          <w:rFonts w:hint="eastAsia" w:cs="仿宋_GB2312"/>
        </w:rPr>
        <w:t>确定依据：参考DB11/T 1370—2016《低碳企业评价技术导则》、T/BJEA 0003—2023《碳中和评估指南》，以及企业调研及多次专家论证。</w:t>
      </w:r>
    </w:p>
    <w:p>
      <w:pPr>
        <w:pStyle w:val="3"/>
        <w:ind w:firstLine="640"/>
      </w:pPr>
      <w:bookmarkStart w:id="1" w:name="_Toc11416294"/>
      <w:r>
        <w:rPr>
          <w:rFonts w:hint="eastAsia"/>
        </w:rPr>
        <w:t>五、标准创新亮点</w:t>
      </w:r>
    </w:p>
    <w:p>
      <w:pPr>
        <w:ind w:firstLine="640"/>
      </w:pPr>
      <w:r>
        <w:rPr>
          <w:rFonts w:hint="eastAsia"/>
        </w:rPr>
        <w:t>本标准首次提出低碳生产服务指标，考虑到供应链企业的业务范畴差异，在绿色供应链相关标准仅考虑生产指标的基础上进行延伸，创新性地将生产和服务相结合，增强了标准的适用性。</w:t>
      </w:r>
    </w:p>
    <w:p>
      <w:pPr>
        <w:ind w:firstLine="640"/>
      </w:pPr>
      <w:r>
        <w:rPr>
          <w:rFonts w:hint="eastAsia"/>
        </w:rPr>
        <w:t>本标准低碳流通指标统筹考虑正向物流和逆向物流，将包装、运输、营销、回收等几大环节结合起来，使其组成有机整体，是对以往供应链相关标准评价指标的整合和拓展，提高了标准的全面性。</w:t>
      </w:r>
    </w:p>
    <w:p>
      <w:pPr>
        <w:ind w:firstLine="640"/>
      </w:pPr>
      <w:r>
        <w:rPr>
          <w:rFonts w:hint="eastAsia"/>
        </w:rPr>
        <w:t>随着大数据和人工智能技术的应用，供应链企业的数字化水平日益提升，本标准结合行业发展特点和现状，首次将数字赋能指标引入供应链管理评价体系，将数字化和低碳化相结合，进一步提升标准的科学性。</w:t>
      </w:r>
    </w:p>
    <w:p>
      <w:pPr>
        <w:ind w:firstLine="640"/>
      </w:pPr>
      <w:r>
        <w:rPr>
          <w:rFonts w:hint="eastAsia"/>
        </w:rPr>
        <w:t>另外，根据企业调研结果，首次提出低碳合作指标，旨在引导企业积极参与低碳供应链领域的公益性合作，如标准编制、课题研究、行业倡议等。</w:t>
      </w:r>
    </w:p>
    <w:p>
      <w:pPr>
        <w:pStyle w:val="3"/>
        <w:ind w:firstLine="640"/>
        <w:rPr>
          <w:rFonts w:cs="Times New Roman"/>
        </w:rPr>
      </w:pPr>
      <w:r>
        <w:rPr>
          <w:rFonts w:hint="eastAsia" w:cs="Times New Roman"/>
        </w:rPr>
        <w:t>六、采用国际标准和国外先进标准情况</w:t>
      </w:r>
    </w:p>
    <w:p>
      <w:pPr>
        <w:ind w:firstLine="640"/>
        <w:rPr>
          <w:rFonts w:cs="仿宋_GB2312"/>
          <w:szCs w:val="32"/>
        </w:rPr>
      </w:pPr>
      <w:bookmarkStart w:id="2" w:name="_Toc485192921"/>
      <w:bookmarkStart w:id="3" w:name="_Toc506301689"/>
      <w:bookmarkStart w:id="4" w:name="_Toc12395382"/>
      <w:bookmarkStart w:id="5" w:name="_Toc450061176"/>
      <w:bookmarkStart w:id="6" w:name="_Toc24693"/>
      <w:bookmarkStart w:id="7" w:name="_Toc2027"/>
      <w:r>
        <w:rPr>
          <w:rFonts w:hint="eastAsia" w:cs="仿宋_GB2312"/>
          <w:szCs w:val="32"/>
        </w:rPr>
        <w:t>未采用国际标准。</w:t>
      </w:r>
    </w:p>
    <w:bookmarkEnd w:id="2"/>
    <w:bookmarkEnd w:id="3"/>
    <w:bookmarkEnd w:id="4"/>
    <w:bookmarkEnd w:id="5"/>
    <w:bookmarkEnd w:id="6"/>
    <w:bookmarkEnd w:id="7"/>
    <w:p>
      <w:pPr>
        <w:pStyle w:val="3"/>
        <w:ind w:firstLine="640"/>
        <w:rPr>
          <w:rFonts w:cs="Times New Roman"/>
        </w:rPr>
      </w:pPr>
      <w:r>
        <w:rPr>
          <w:rFonts w:hint="eastAsia" w:cs="Times New Roman"/>
        </w:rPr>
        <w:t>七、与现行相关法律法规、规章及相关强制性标准的一致性</w:t>
      </w:r>
    </w:p>
    <w:p>
      <w:pPr>
        <w:ind w:firstLine="640"/>
        <w:rPr>
          <w:rFonts w:cs="仿宋_GB2312"/>
          <w:szCs w:val="32"/>
        </w:rPr>
      </w:pPr>
      <w:r>
        <w:rPr>
          <w:rFonts w:hint="eastAsia" w:cs="仿宋_GB2312"/>
          <w:szCs w:val="32"/>
        </w:rPr>
        <w:t>本标准与现行相关法律法规、规章及相关强制性标准协调一致。</w:t>
      </w:r>
    </w:p>
    <w:p>
      <w:pPr>
        <w:pStyle w:val="3"/>
        <w:ind w:firstLine="640"/>
        <w:rPr>
          <w:rFonts w:cs="Times New Roman"/>
        </w:rPr>
      </w:pPr>
      <w:r>
        <w:rPr>
          <w:rFonts w:hint="eastAsia" w:cs="Times New Roman"/>
        </w:rPr>
        <w:t>八、重大分歧意见的处理经过和依据</w:t>
      </w:r>
    </w:p>
    <w:p>
      <w:pPr>
        <w:ind w:firstLine="640"/>
        <w:rPr>
          <w:rFonts w:cs="仿宋_GB2312"/>
          <w:szCs w:val="32"/>
        </w:rPr>
      </w:pPr>
      <w:r>
        <w:rPr>
          <w:rFonts w:hint="eastAsia" w:cs="仿宋_GB2312"/>
          <w:szCs w:val="32"/>
        </w:rPr>
        <w:t>本标准制定过程中无重大分歧意见。</w:t>
      </w:r>
    </w:p>
    <w:bookmarkEnd w:id="1"/>
    <w:p>
      <w:pPr>
        <w:pStyle w:val="3"/>
        <w:ind w:firstLine="640"/>
      </w:pPr>
      <w:r>
        <w:rPr>
          <w:rFonts w:hint="eastAsia"/>
        </w:rPr>
        <w:t>九、标准性质的建议说明</w:t>
      </w:r>
    </w:p>
    <w:p>
      <w:pPr>
        <w:ind w:firstLine="640"/>
        <w:rPr>
          <w:rFonts w:cs="仿宋_GB2312"/>
        </w:rPr>
      </w:pPr>
      <w:r>
        <w:rPr>
          <w:rFonts w:hint="eastAsia" w:cs="仿宋_GB2312"/>
        </w:rPr>
        <w:t>本标准为推荐性团体标准，指标技术水平国内领先，由团体成员约定采用或者按照本团体的有关规定供企业自愿采用，可作为低碳供应链企业的评价依据。</w:t>
      </w:r>
    </w:p>
    <w:p>
      <w:pPr>
        <w:pStyle w:val="3"/>
        <w:ind w:firstLine="640"/>
      </w:pPr>
      <w:r>
        <w:rPr>
          <w:rFonts w:hint="eastAsia"/>
        </w:rPr>
        <w:t>十、贯彻标准的要求和措施建议</w:t>
      </w:r>
    </w:p>
    <w:p>
      <w:pPr>
        <w:ind w:firstLine="640"/>
      </w:pPr>
      <w:r>
        <w:rPr>
          <w:rFonts w:hint="eastAsia"/>
        </w:rPr>
        <w:t>建议本标准首先作为团体标准发布，在本标准实施1-2年间，收集企业和管理部门意见进行修订，然后可考虑制定行业或国家标准。</w:t>
      </w:r>
    </w:p>
    <w:p>
      <w:pPr>
        <w:pStyle w:val="3"/>
        <w:ind w:firstLine="640"/>
        <w:rPr>
          <w:rFonts w:cs="Times New Roman"/>
        </w:rPr>
      </w:pPr>
      <w:r>
        <w:rPr>
          <w:rFonts w:hint="eastAsia" w:cs="Times New Roman"/>
        </w:rPr>
        <w:t>十一、替代或废止现行有关标准的建议</w:t>
      </w:r>
    </w:p>
    <w:p>
      <w:pPr>
        <w:ind w:firstLine="640"/>
      </w:pPr>
      <w:r>
        <w:rPr>
          <w:rFonts w:hint="eastAsia"/>
        </w:rPr>
        <w:t>本标准不涉及现行标准的废止。</w:t>
      </w:r>
    </w:p>
    <w:p>
      <w:pPr>
        <w:pStyle w:val="3"/>
        <w:ind w:firstLine="640"/>
        <w:rPr>
          <w:rFonts w:cs="Times New Roman"/>
        </w:rPr>
      </w:pPr>
      <w:r>
        <w:rPr>
          <w:rFonts w:hint="eastAsia" w:cs="Times New Roman"/>
        </w:rPr>
        <w:t>十二、其他应予说明的事项</w:t>
      </w:r>
    </w:p>
    <w:p>
      <w:pPr>
        <w:ind w:firstLine="640"/>
        <w:rPr>
          <w:rFonts w:cs="仿宋_GB2312"/>
          <w:szCs w:val="32"/>
        </w:rPr>
      </w:pPr>
      <w:r>
        <w:rPr>
          <w:rFonts w:hint="eastAsia" w:cs="仿宋_GB2312"/>
          <w:szCs w:val="32"/>
        </w:rPr>
        <w:t>无。</w:t>
      </w:r>
    </w:p>
    <w:p>
      <w:pPr>
        <w:ind w:firstLine="0" w:firstLineChars="0"/>
        <w:rPr>
          <w:rFonts w:ascii="仿宋" w:hAnsi="仿宋" w:eastAsia="仿宋" w:cs="仿宋"/>
          <w:sz w:val="30"/>
          <w:szCs w:val="30"/>
        </w:rPr>
      </w:pPr>
    </w:p>
    <w:sectPr>
      <w:footerReference r:id="rId11" w:type="default"/>
      <w:pgSz w:w="11906" w:h="16838"/>
      <w:pgMar w:top="1701" w:right="1474" w:bottom="1701" w:left="1587" w:header="851" w:footer="992" w:gutter="0"/>
      <w:pgNumType w:start="1"/>
      <w:cols w:space="425" w:num="1"/>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embedRegular r:id="rId1" w:fontKey="{167DAF60-06A0-4B40-81FA-00C3D36DB7FC}"/>
  </w:font>
  <w:font w:name="Cambria">
    <w:panose1 w:val="02040503050406030204"/>
    <w:charset w:val="00"/>
    <w:family w:val="roman"/>
    <w:pitch w:val="default"/>
    <w:sig w:usb0="E00002FF" w:usb1="400004FF" w:usb2="00000000" w:usb3="00000000" w:csb0="2000019F" w:csb1="00000000"/>
  </w:font>
  <w:font w:name="楷体_GB2312">
    <w:panose1 w:val="02010609030101010101"/>
    <w:charset w:val="86"/>
    <w:family w:val="modern"/>
    <w:pitch w:val="default"/>
    <w:sig w:usb0="00000001" w:usb1="080E0000" w:usb2="00000000" w:usb3="00000000" w:csb0="00040000" w:csb1="00000000"/>
    <w:embedRegular r:id="rId2" w:fontKey="{D0870770-E8A6-4065-937B-32C96BA0AF43}"/>
  </w:font>
  <w:font w:name="Microsoft YaHei UI">
    <w:altName w:val="宋体"/>
    <w:panose1 w:val="00000000000000000000"/>
    <w:charset w:val="86"/>
    <w:family w:val="swiss"/>
    <w:pitch w:val="default"/>
    <w:sig w:usb0="00000000" w:usb1="00000000" w:usb2="00000016" w:usb3="00000000" w:csb0="0004001F" w:csb1="00000000"/>
  </w:font>
  <w:font w:name="方正小标宋_GBK">
    <w:altName w:val="Arial Unicode MS"/>
    <w:panose1 w:val="02000000000000000000"/>
    <w:charset w:val="86"/>
    <w:family w:val="auto"/>
    <w:pitch w:val="default"/>
    <w:sig w:usb0="00000000" w:usb1="00000000" w:usb2="00000000" w:usb3="00000000" w:csb0="00160000" w:csb1="00000000"/>
    <w:embedRegular r:id="rId3" w:fontKey="{3FC11792-510B-46B2-89DE-7A2C59F29703}"/>
  </w:font>
  <w:font w:name="方正小标宋简体">
    <w:panose1 w:val="03000509000000000000"/>
    <w:charset w:val="86"/>
    <w:family w:val="script"/>
    <w:pitch w:val="default"/>
    <w:sig w:usb0="00000001" w:usb1="080E0000" w:usb2="00000000" w:usb3="00000000" w:csb0="00040000" w:csb1="00000000"/>
    <w:embedRegular r:id="rId4" w:fontKey="{2A553BD9-7328-4AC7-8EF4-A7B9535FC2AF}"/>
  </w:font>
  <w:font w:name="仿宋">
    <w:panose1 w:val="02010609060101010101"/>
    <w:charset w:val="86"/>
    <w:family w:val="modern"/>
    <w:pitch w:val="default"/>
    <w:sig w:usb0="800002BF" w:usb1="38CF7CFA" w:usb2="00000016" w:usb3="00000000" w:csb0="00040001" w:csb1="00000000"/>
    <w:embedRegular r:id="rId5" w:fontKey="{C3B73727-1521-4210-9888-3CE07B2AA843}"/>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0" w:firstLineChars="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
    </w:sdtPr>
    <w:sdtContent>
      <w:p>
        <w:pPr>
          <w:pStyle w:val="10"/>
          <w:ind w:firstLine="360"/>
          <w:jc w:val="center"/>
        </w:pPr>
        <w:r>
          <w:rPr>
            <w:rFonts w:hint="eastAsia" w:cs="仿宋_GB2312"/>
            <w:sz w:val="28"/>
            <w:szCs w:val="28"/>
          </w:rPr>
          <w:fldChar w:fldCharType="begin"/>
        </w:r>
        <w:r>
          <w:rPr>
            <w:rFonts w:hint="eastAsia" w:cs="仿宋_GB2312"/>
            <w:sz w:val="28"/>
            <w:szCs w:val="28"/>
          </w:rPr>
          <w:instrText xml:space="preserve">PAGE   \* MERGEFORMAT</w:instrText>
        </w:r>
        <w:r>
          <w:rPr>
            <w:rFonts w:hint="eastAsia" w:cs="仿宋_GB2312"/>
            <w:sz w:val="28"/>
            <w:szCs w:val="28"/>
          </w:rPr>
          <w:fldChar w:fldCharType="separate"/>
        </w:r>
        <w:r>
          <w:rPr>
            <w:rFonts w:cs="仿宋_GB2312"/>
            <w:sz w:val="28"/>
            <w:szCs w:val="28"/>
            <w:lang w:val="zh-CN"/>
          </w:rPr>
          <w:t>1</w:t>
        </w:r>
        <w:r>
          <w:rPr>
            <w:rFonts w:hint="eastAsia" w:cs="仿宋_GB2312"/>
            <w:sz w:val="28"/>
            <w:szCs w:val="28"/>
          </w:rPr>
          <w:fldChar w:fldCharType="end"/>
        </w:r>
      </w:p>
    </w:sdtContent>
  </w:sdt>
  <w:p>
    <w:pPr>
      <w:pStyle w:val="10"/>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640" w:firstLine="0" w:firstLineChars="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5794C7F"/>
    <w:multiLevelType w:val="singleLevel"/>
    <w:tmpl w:val="A5794C7F"/>
    <w:lvl w:ilvl="0" w:tentative="0">
      <w:start w:val="3"/>
      <w:numFmt w:val="chineseCounting"/>
      <w:suff w:val="nothing"/>
      <w:lvlText w:val="%1、"/>
      <w:lvlJc w:val="left"/>
      <w:rPr>
        <w:rFonts w:hint="eastAsia"/>
      </w:rPr>
    </w:lvl>
  </w:abstractNum>
  <w:abstractNum w:abstractNumId="1">
    <w:nsid w:val="1FC91163"/>
    <w:multiLevelType w:val="multilevel"/>
    <w:tmpl w:val="1FC91163"/>
    <w:lvl w:ilvl="0" w:tentative="0">
      <w:start w:val="1"/>
      <w:numFmt w:val="decimal"/>
      <w:pStyle w:val="28"/>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27"/>
      <w:suff w:val="nothing"/>
      <w:lvlText w:val="%1.%2　"/>
      <w:lvlJc w:val="left"/>
      <w:pPr>
        <w:ind w:left="426" w:firstLine="0"/>
      </w:pPr>
      <w:rPr>
        <w:rFonts w:hint="eastAsia" w:ascii="黑体" w:hAnsi="Times New Roman" w:eastAsia="黑体" w:cs="Times New Roman"/>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tentative="0">
      <w:start w:val="1"/>
      <w:numFmt w:val="decimal"/>
      <w:pStyle w:val="29"/>
      <w:suff w:val="nothing"/>
      <w:lvlText w:val="%1.%2.%3　"/>
      <w:lvlJc w:val="left"/>
      <w:pPr>
        <w:ind w:left="0" w:firstLine="0"/>
      </w:pPr>
      <w:rPr>
        <w:rFonts w:hint="eastAsia" w:ascii="黑体" w:hAnsi="Times New Roman" w:eastAsia="黑体"/>
        <w:b w:val="0"/>
        <w:i w:val="0"/>
        <w:sz w:val="21"/>
      </w:rPr>
    </w:lvl>
    <w:lvl w:ilvl="3" w:tentative="0">
      <w:start w:val="1"/>
      <w:numFmt w:val="decimal"/>
      <w:pStyle w:val="30"/>
      <w:suff w:val="nothing"/>
      <w:lvlText w:val="%1.%2.%3.%4　"/>
      <w:lvlJc w:val="left"/>
      <w:pPr>
        <w:ind w:left="0" w:firstLine="0"/>
      </w:pPr>
      <w:rPr>
        <w:rFonts w:hint="eastAsia" w:ascii="黑体" w:hAnsi="Times New Roman" w:eastAsia="黑体"/>
        <w:b w:val="0"/>
        <w:i w:val="0"/>
        <w:sz w:val="21"/>
      </w:rPr>
    </w:lvl>
    <w:lvl w:ilvl="4" w:tentative="0">
      <w:start w:val="1"/>
      <w:numFmt w:val="decimal"/>
      <w:pStyle w:val="32"/>
      <w:suff w:val="nothing"/>
      <w:lvlText w:val="%1.%2.%3.%4.%5　"/>
      <w:lvlJc w:val="left"/>
      <w:pPr>
        <w:ind w:left="0" w:firstLine="0"/>
      </w:pPr>
      <w:rPr>
        <w:rFonts w:hint="eastAsia" w:ascii="黑体" w:hAnsi="Times New Roman" w:eastAsia="黑体"/>
        <w:b w:val="0"/>
        <w:i w:val="0"/>
        <w:sz w:val="21"/>
      </w:rPr>
    </w:lvl>
    <w:lvl w:ilvl="5" w:tentative="0">
      <w:start w:val="1"/>
      <w:numFmt w:val="decimal"/>
      <w:pStyle w:val="33"/>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
    <w:nsid w:val="22B2F89E"/>
    <w:multiLevelType w:val="singleLevel"/>
    <w:tmpl w:val="22B2F89E"/>
    <w:lvl w:ilvl="0" w:tentative="0">
      <w:start w:val="2"/>
      <w:numFmt w:val="chineseCounting"/>
      <w:suff w:val="nothing"/>
      <w:lvlText w:val="（%1）"/>
      <w:lvlJc w:val="left"/>
      <w:rPr>
        <w:rFonts w:hint="eastAsia"/>
      </w:rPr>
    </w:lvl>
  </w:abstractNum>
  <w:abstractNum w:abstractNumId="3">
    <w:nsid w:val="44C50F90"/>
    <w:multiLevelType w:val="multilevel"/>
    <w:tmpl w:val="44C50F90"/>
    <w:lvl w:ilvl="0" w:tentative="0">
      <w:start w:val="1"/>
      <w:numFmt w:val="lowerLetter"/>
      <w:pStyle w:val="34"/>
      <w:lvlText w:val="%1)"/>
      <w:lvlJc w:val="left"/>
      <w:pPr>
        <w:tabs>
          <w:tab w:val="left" w:pos="840"/>
        </w:tabs>
        <w:ind w:left="839" w:hanging="419"/>
      </w:pPr>
      <w:rPr>
        <w:rFonts w:hint="eastAsia" w:ascii="宋体" w:eastAsia="宋体"/>
        <w:b w:val="0"/>
        <w:i w:val="0"/>
        <w:sz w:val="21"/>
        <w:szCs w:val="21"/>
      </w:rPr>
    </w:lvl>
    <w:lvl w:ilvl="1" w:tentative="0">
      <w:start w:val="1"/>
      <w:numFmt w:val="decimal"/>
      <w:pStyle w:val="31"/>
      <w:lvlText w:val="%2)"/>
      <w:lvlJc w:val="left"/>
      <w:pPr>
        <w:tabs>
          <w:tab w:val="left" w:pos="1260"/>
        </w:tabs>
        <w:ind w:left="1259" w:hanging="419"/>
      </w:pPr>
      <w:rPr>
        <w:rFonts w:hint="eastAsia"/>
      </w:rPr>
    </w:lvl>
    <w:lvl w:ilvl="2" w:tentative="0">
      <w:start w:val="1"/>
      <w:numFmt w:val="decimal"/>
      <w:pStyle w:val="35"/>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4">
    <w:nsid w:val="6CEA2025"/>
    <w:multiLevelType w:val="multilevel"/>
    <w:tmpl w:val="6CEA2025"/>
    <w:lvl w:ilvl="0" w:tentative="0">
      <w:start w:val="1"/>
      <w:numFmt w:val="none"/>
      <w:suff w:val="nothing"/>
      <w:lvlText w:val="%1"/>
      <w:lvlJc w:val="left"/>
      <w:pPr>
        <w:ind w:left="0" w:firstLine="0"/>
      </w:pPr>
      <w:rPr>
        <w:rFonts w:hint="eastAsia"/>
      </w:rPr>
    </w:lvl>
    <w:lvl w:ilvl="1" w:tentative="0">
      <w:start w:val="1"/>
      <w:numFmt w:val="decimal"/>
      <w:suff w:val="nothing"/>
      <w:lvlText w:val="%1%2　"/>
      <w:lvlJc w:val="left"/>
      <w:pPr>
        <w:ind w:left="0" w:firstLine="0"/>
      </w:pPr>
      <w:rPr>
        <w:rFonts w:hint="eastAsia" w:ascii="黑体" w:eastAsia="黑体"/>
        <w:b w:val="0"/>
        <w:i w:val="0"/>
        <w:sz w:val="21"/>
      </w:rPr>
    </w:lvl>
    <w:lvl w:ilvl="2" w:tentative="0">
      <w:start w:val="1"/>
      <w:numFmt w:val="decimal"/>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14:ligatures w14:val="none"/>
        <w14:numForm w14:val="default"/>
        <w14:numSpacing w14:val="default"/>
      </w:rPr>
    </w:lvl>
    <w:lvl w:ilvl="3" w:tentative="0">
      <w:start w:val="1"/>
      <w:numFmt w:val="decimal"/>
      <w:pStyle w:val="47"/>
      <w:suff w:val="nothing"/>
      <w:lvlText w:val="%1%2.%3.%4　"/>
      <w:lvlJc w:val="left"/>
      <w:pPr>
        <w:ind w:left="0" w:firstLine="0"/>
      </w:pPr>
      <w:rPr>
        <w:rFonts w:hint="eastAsia" w:ascii="黑体" w:eastAsia="黑体"/>
        <w:b w:val="0"/>
        <w:i w:val="0"/>
        <w:sz w:val="21"/>
      </w:rPr>
    </w:lvl>
    <w:lvl w:ilvl="4" w:tentative="0">
      <w:start w:val="1"/>
      <w:numFmt w:val="decimal"/>
      <w:suff w:val="nothing"/>
      <w:lvlText w:val="%1%2.%3.%4.%5　"/>
      <w:lvlJc w:val="left"/>
      <w:pPr>
        <w:ind w:left="0" w:firstLine="0"/>
      </w:pPr>
      <w:rPr>
        <w:rFonts w:hint="eastAsia" w:ascii="黑体" w:eastAsia="黑体"/>
        <w:b w:val="0"/>
        <w:i w:val="0"/>
        <w:sz w:val="21"/>
      </w:rPr>
    </w:lvl>
    <w:lvl w:ilvl="5" w:tentative="0">
      <w:start w:val="1"/>
      <w:numFmt w:val="decimal"/>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5">
    <w:nsid w:val="6E8A60FA"/>
    <w:multiLevelType w:val="multilevel"/>
    <w:tmpl w:val="6E8A60FA"/>
    <w:lvl w:ilvl="0" w:tentative="0">
      <w:start w:val="1"/>
      <w:numFmt w:val="decimal"/>
      <w:suff w:val="nothing"/>
      <w:lvlText w:val="%1　"/>
      <w:lvlJc w:val="left"/>
      <w:pPr>
        <w:ind w:left="0" w:firstLine="0"/>
      </w:pPr>
      <w:rPr>
        <w:rFonts w:hint="eastAsia"/>
      </w:rPr>
    </w:lvl>
    <w:lvl w:ilvl="1" w:tentative="0">
      <w:start w:val="1"/>
      <w:numFmt w:val="decimal"/>
      <w:suff w:val="nothing"/>
      <w:lvlText w:val="%1.%2　"/>
      <w:lvlJc w:val="left"/>
      <w:pPr>
        <w:ind w:left="0" w:firstLine="0"/>
      </w:pPr>
      <w:rPr>
        <w:rFonts w:hint="eastAsia" w:ascii="黑体" w:hAnsi="黑体" w:eastAsia="黑体"/>
      </w:rPr>
    </w:lvl>
    <w:lvl w:ilvl="2" w:tentative="0">
      <w:start w:val="1"/>
      <w:numFmt w:val="decimal"/>
      <w:suff w:val="nothing"/>
      <w:lvlText w:val="%1.%2.%3　"/>
      <w:lvlJc w:val="left"/>
      <w:pPr>
        <w:ind w:left="992" w:firstLine="0"/>
      </w:pPr>
      <w:rPr>
        <w:rFonts w:hint="eastAsia" w:ascii="黑体" w:hAnsi="黑体" w:eastAsia="黑体"/>
      </w:rPr>
    </w:lvl>
    <w:lvl w:ilvl="3" w:tentative="0">
      <w:start w:val="1"/>
      <w:numFmt w:val="decimal"/>
      <w:suff w:val="nothing"/>
      <w:lvlText w:val="%1.%2.%3.%4 "/>
      <w:lvlJc w:val="left"/>
      <w:pPr>
        <w:ind w:left="1277" w:firstLine="0"/>
      </w:pPr>
      <w:rPr>
        <w:rFonts w:hint="eastAsia" w:ascii="黑体" w:hAnsi="黑体" w:eastAsia="黑体"/>
      </w:rPr>
    </w:lvl>
    <w:lvl w:ilvl="4" w:tentative="0">
      <w:start w:val="1"/>
      <w:numFmt w:val="decimal"/>
      <w:suff w:val="nothing"/>
      <w:lvlText w:val="%1.%2.%3.%4.%5"/>
      <w:lvlJc w:val="left"/>
      <w:pPr>
        <w:ind w:left="0" w:firstLine="0"/>
      </w:pPr>
      <w:rPr>
        <w:rFonts w:hint="eastAsia"/>
      </w:rPr>
    </w:lvl>
    <w:lvl w:ilvl="5" w:tentative="0">
      <w:start w:val="1"/>
      <w:numFmt w:val="decimal"/>
      <w:suff w:val="nothing"/>
      <w:lvlText w:val="%1.%2.%3.%4.%5.%6　"/>
      <w:lvlJc w:val="left"/>
      <w:pPr>
        <w:ind w:left="0" w:firstLine="0"/>
      </w:pPr>
      <w:rPr>
        <w:rFonts w:hint="eastAsia"/>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51"/>
        </w:tabs>
        <w:ind w:left="0" w:firstLine="0"/>
      </w:pPr>
      <w:rPr>
        <w:rFonts w:hint="eastAsia"/>
      </w:rPr>
    </w:lvl>
    <w:lvl w:ilvl="8" w:tentative="0">
      <w:start w:val="1"/>
      <w:numFmt w:val="decimal"/>
      <w:lvlText w:val="%1.%2.%3.%4.%5.%6.%7.%8.%9"/>
      <w:lvlJc w:val="left"/>
      <w:pPr>
        <w:tabs>
          <w:tab w:val="left" w:pos="4777"/>
        </w:tabs>
        <w:ind w:left="0" w:firstLine="0"/>
      </w:pPr>
      <w:rPr>
        <w:rFonts w:hint="eastAsia"/>
      </w:rPr>
    </w:lvl>
  </w:abstractNum>
  <w:num w:numId="1">
    <w:abstractNumId w:val="1"/>
  </w:num>
  <w:num w:numId="2">
    <w:abstractNumId w:val="3"/>
  </w:num>
  <w:num w:numId="3">
    <w:abstractNumId w:val="5"/>
    <w:lvlOverride w:ilvl="0">
      <w:lvl w:ilvl="0" w:tentative="1">
        <w:start w:val="0"/>
        <w:numFmt w:val="decimal"/>
        <w:pStyle w:val="44"/>
        <w:lvlText w:val=""/>
        <w:lvlJc w:val="left"/>
      </w:lvl>
    </w:lvlOverride>
    <w:lvlOverride w:ilvl="1">
      <w:lvl w:ilvl="1" w:tentative="1">
        <w:start w:val="0"/>
        <w:numFmt w:val="decimal"/>
        <w:lvlText w:val=""/>
        <w:lvlJc w:val="left"/>
      </w:lvl>
    </w:lvlOverride>
    <w:lvlOverride w:ilvl="2">
      <w:lvl w:ilvl="2" w:tentative="1">
        <w:start w:val="1"/>
        <w:numFmt w:val="decimal"/>
        <w:suff w:val="nothing"/>
        <w:lvlText w:val="%1.%2.%3　"/>
        <w:lvlJc w:val="left"/>
        <w:pPr>
          <w:ind w:left="0" w:firstLine="0"/>
        </w:pPr>
        <w:rPr>
          <w:rFonts w:hint="eastAsia" w:ascii="黑体" w:hAnsi="黑体" w:eastAsia="黑体"/>
        </w:rPr>
      </w:lvl>
    </w:lvlOverride>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embedTrueTypeFonts/>
  <w:saveSubsetFonts/>
  <w:bordersDoNotSurroundHeader w:val="1"/>
  <w:bordersDoNotSurroundFooter w:val="1"/>
  <w:trackRevisions w:val="1"/>
  <w:documentProtection w:enforcement="0"/>
  <w:defaultTabStop w:val="420"/>
  <w:noPunctuationKerning w:val="1"/>
  <w:characterSpacingControl w:val="doNotCompress"/>
  <w:footnotePr>
    <w:footnote w:id="0"/>
    <w:footnote w:id="1"/>
  </w:footnotePr>
  <w:endnotePr>
    <w:endnote w:id="0"/>
    <w:endnote w:id="1"/>
  </w:endnotePr>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ZmNTM4ZTI1YTA4MGM1NmY3MmU3MmM2NDI2MWRjZjIifQ=="/>
  </w:docVars>
  <w:rsids>
    <w:rsidRoot w:val="00630149"/>
    <w:rsid w:val="00000117"/>
    <w:rsid w:val="00002900"/>
    <w:rsid w:val="000033EE"/>
    <w:rsid w:val="00007FC4"/>
    <w:rsid w:val="00010849"/>
    <w:rsid w:val="000114E3"/>
    <w:rsid w:val="00011661"/>
    <w:rsid w:val="00013340"/>
    <w:rsid w:val="00017A96"/>
    <w:rsid w:val="00022584"/>
    <w:rsid w:val="00022D90"/>
    <w:rsid w:val="00024A9D"/>
    <w:rsid w:val="0002522C"/>
    <w:rsid w:val="00026662"/>
    <w:rsid w:val="00031CDE"/>
    <w:rsid w:val="00032C0D"/>
    <w:rsid w:val="000353CD"/>
    <w:rsid w:val="00035523"/>
    <w:rsid w:val="00035F93"/>
    <w:rsid w:val="000410D9"/>
    <w:rsid w:val="00042767"/>
    <w:rsid w:val="00042C44"/>
    <w:rsid w:val="00046CB1"/>
    <w:rsid w:val="00050308"/>
    <w:rsid w:val="00051524"/>
    <w:rsid w:val="00052F6B"/>
    <w:rsid w:val="00054E49"/>
    <w:rsid w:val="000550B9"/>
    <w:rsid w:val="00062B19"/>
    <w:rsid w:val="0006569D"/>
    <w:rsid w:val="00066589"/>
    <w:rsid w:val="000676C7"/>
    <w:rsid w:val="00067A01"/>
    <w:rsid w:val="00067AB2"/>
    <w:rsid w:val="00067BC1"/>
    <w:rsid w:val="00072929"/>
    <w:rsid w:val="00072CBE"/>
    <w:rsid w:val="00073411"/>
    <w:rsid w:val="000743A6"/>
    <w:rsid w:val="000763ED"/>
    <w:rsid w:val="00076A2C"/>
    <w:rsid w:val="00076E45"/>
    <w:rsid w:val="00081DA7"/>
    <w:rsid w:val="00081E4D"/>
    <w:rsid w:val="00081F18"/>
    <w:rsid w:val="000829D0"/>
    <w:rsid w:val="00082EF6"/>
    <w:rsid w:val="00084E7C"/>
    <w:rsid w:val="0008677F"/>
    <w:rsid w:val="000868D5"/>
    <w:rsid w:val="000903E3"/>
    <w:rsid w:val="000904B3"/>
    <w:rsid w:val="00090D7D"/>
    <w:rsid w:val="0009205C"/>
    <w:rsid w:val="00092741"/>
    <w:rsid w:val="00094346"/>
    <w:rsid w:val="00094C19"/>
    <w:rsid w:val="00095E95"/>
    <w:rsid w:val="00097AAC"/>
    <w:rsid w:val="000A19F4"/>
    <w:rsid w:val="000A3D49"/>
    <w:rsid w:val="000A5184"/>
    <w:rsid w:val="000A5DFA"/>
    <w:rsid w:val="000A6177"/>
    <w:rsid w:val="000A6A14"/>
    <w:rsid w:val="000B1695"/>
    <w:rsid w:val="000B278F"/>
    <w:rsid w:val="000B53F6"/>
    <w:rsid w:val="000B64B9"/>
    <w:rsid w:val="000B7EB4"/>
    <w:rsid w:val="000B7F22"/>
    <w:rsid w:val="000C12C4"/>
    <w:rsid w:val="000C1725"/>
    <w:rsid w:val="000C1D75"/>
    <w:rsid w:val="000C25AA"/>
    <w:rsid w:val="000C2EB1"/>
    <w:rsid w:val="000C302C"/>
    <w:rsid w:val="000C3AE5"/>
    <w:rsid w:val="000C5C1F"/>
    <w:rsid w:val="000C5DD5"/>
    <w:rsid w:val="000C6497"/>
    <w:rsid w:val="000C715F"/>
    <w:rsid w:val="000D07A3"/>
    <w:rsid w:val="000D104A"/>
    <w:rsid w:val="000D5FBE"/>
    <w:rsid w:val="000D61F2"/>
    <w:rsid w:val="000D64E2"/>
    <w:rsid w:val="000E0AC6"/>
    <w:rsid w:val="000E3001"/>
    <w:rsid w:val="000E3325"/>
    <w:rsid w:val="000E6CFC"/>
    <w:rsid w:val="000E6FDD"/>
    <w:rsid w:val="000F00DA"/>
    <w:rsid w:val="000F3DA3"/>
    <w:rsid w:val="000F4A75"/>
    <w:rsid w:val="000F5E52"/>
    <w:rsid w:val="000F658B"/>
    <w:rsid w:val="000F7C1A"/>
    <w:rsid w:val="00102F19"/>
    <w:rsid w:val="00105F8D"/>
    <w:rsid w:val="00106B2F"/>
    <w:rsid w:val="0010744D"/>
    <w:rsid w:val="00115072"/>
    <w:rsid w:val="00115C43"/>
    <w:rsid w:val="00115E7B"/>
    <w:rsid w:val="001160AE"/>
    <w:rsid w:val="00116283"/>
    <w:rsid w:val="00120AA5"/>
    <w:rsid w:val="001225B2"/>
    <w:rsid w:val="00122F85"/>
    <w:rsid w:val="0012650B"/>
    <w:rsid w:val="001272C0"/>
    <w:rsid w:val="001272F4"/>
    <w:rsid w:val="00127D9C"/>
    <w:rsid w:val="00127F65"/>
    <w:rsid w:val="00130B6B"/>
    <w:rsid w:val="00130F13"/>
    <w:rsid w:val="0013162F"/>
    <w:rsid w:val="001336A8"/>
    <w:rsid w:val="00134F31"/>
    <w:rsid w:val="001351E5"/>
    <w:rsid w:val="00135F89"/>
    <w:rsid w:val="00136DFE"/>
    <w:rsid w:val="00140976"/>
    <w:rsid w:val="00141437"/>
    <w:rsid w:val="00141FCA"/>
    <w:rsid w:val="0015198D"/>
    <w:rsid w:val="00151C83"/>
    <w:rsid w:val="001523A2"/>
    <w:rsid w:val="0015255A"/>
    <w:rsid w:val="00152AD4"/>
    <w:rsid w:val="00153203"/>
    <w:rsid w:val="00153613"/>
    <w:rsid w:val="001546B1"/>
    <w:rsid w:val="00155CB6"/>
    <w:rsid w:val="00157644"/>
    <w:rsid w:val="00157931"/>
    <w:rsid w:val="0015793B"/>
    <w:rsid w:val="00162379"/>
    <w:rsid w:val="0016268C"/>
    <w:rsid w:val="00163F0A"/>
    <w:rsid w:val="00166C4D"/>
    <w:rsid w:val="00170724"/>
    <w:rsid w:val="00172937"/>
    <w:rsid w:val="001739C2"/>
    <w:rsid w:val="001742A8"/>
    <w:rsid w:val="001744A0"/>
    <w:rsid w:val="00175D05"/>
    <w:rsid w:val="0017772C"/>
    <w:rsid w:val="00182AE0"/>
    <w:rsid w:val="00184723"/>
    <w:rsid w:val="00186557"/>
    <w:rsid w:val="0019459F"/>
    <w:rsid w:val="0019500A"/>
    <w:rsid w:val="0019554F"/>
    <w:rsid w:val="001A023B"/>
    <w:rsid w:val="001A1E96"/>
    <w:rsid w:val="001A2D08"/>
    <w:rsid w:val="001A37D6"/>
    <w:rsid w:val="001A4EC6"/>
    <w:rsid w:val="001B0282"/>
    <w:rsid w:val="001B2326"/>
    <w:rsid w:val="001B30D1"/>
    <w:rsid w:val="001B3543"/>
    <w:rsid w:val="001B3C42"/>
    <w:rsid w:val="001B5E47"/>
    <w:rsid w:val="001B64C7"/>
    <w:rsid w:val="001B7700"/>
    <w:rsid w:val="001C011F"/>
    <w:rsid w:val="001C1A9F"/>
    <w:rsid w:val="001C6708"/>
    <w:rsid w:val="001C6B19"/>
    <w:rsid w:val="001C75EF"/>
    <w:rsid w:val="001D14AA"/>
    <w:rsid w:val="001D22F7"/>
    <w:rsid w:val="001D5F17"/>
    <w:rsid w:val="001D6BB4"/>
    <w:rsid w:val="001D6D48"/>
    <w:rsid w:val="001D6D71"/>
    <w:rsid w:val="001E2359"/>
    <w:rsid w:val="001E23AF"/>
    <w:rsid w:val="001E2BE1"/>
    <w:rsid w:val="001E493D"/>
    <w:rsid w:val="001E62AE"/>
    <w:rsid w:val="001E6C74"/>
    <w:rsid w:val="001E70F5"/>
    <w:rsid w:val="001F0C55"/>
    <w:rsid w:val="001F1CBA"/>
    <w:rsid w:val="001F2979"/>
    <w:rsid w:val="001F6FB2"/>
    <w:rsid w:val="00200A7B"/>
    <w:rsid w:val="0020363A"/>
    <w:rsid w:val="00204609"/>
    <w:rsid w:val="002053FB"/>
    <w:rsid w:val="00206115"/>
    <w:rsid w:val="00206DCA"/>
    <w:rsid w:val="002105B4"/>
    <w:rsid w:val="00210921"/>
    <w:rsid w:val="002125F0"/>
    <w:rsid w:val="00213E70"/>
    <w:rsid w:val="0021564A"/>
    <w:rsid w:val="00215745"/>
    <w:rsid w:val="002168AC"/>
    <w:rsid w:val="0021769F"/>
    <w:rsid w:val="002177D1"/>
    <w:rsid w:val="00220CD7"/>
    <w:rsid w:val="00223B68"/>
    <w:rsid w:val="00226660"/>
    <w:rsid w:val="00231C21"/>
    <w:rsid w:val="002327D3"/>
    <w:rsid w:val="00233E02"/>
    <w:rsid w:val="00236AE7"/>
    <w:rsid w:val="00240871"/>
    <w:rsid w:val="002423D7"/>
    <w:rsid w:val="0024395B"/>
    <w:rsid w:val="00245A30"/>
    <w:rsid w:val="002461A6"/>
    <w:rsid w:val="002521FC"/>
    <w:rsid w:val="002530FA"/>
    <w:rsid w:val="0025319B"/>
    <w:rsid w:val="0025371A"/>
    <w:rsid w:val="0025542A"/>
    <w:rsid w:val="00255CAF"/>
    <w:rsid w:val="002600C2"/>
    <w:rsid w:val="00260884"/>
    <w:rsid w:val="002617DF"/>
    <w:rsid w:val="00262194"/>
    <w:rsid w:val="0026239F"/>
    <w:rsid w:val="002625A5"/>
    <w:rsid w:val="00266B8E"/>
    <w:rsid w:val="0027108F"/>
    <w:rsid w:val="00271926"/>
    <w:rsid w:val="002726D9"/>
    <w:rsid w:val="00272E02"/>
    <w:rsid w:val="002746EE"/>
    <w:rsid w:val="00275E5D"/>
    <w:rsid w:val="0028033D"/>
    <w:rsid w:val="00280439"/>
    <w:rsid w:val="00280731"/>
    <w:rsid w:val="00280B62"/>
    <w:rsid w:val="00281C26"/>
    <w:rsid w:val="0028217A"/>
    <w:rsid w:val="00283363"/>
    <w:rsid w:val="00283D81"/>
    <w:rsid w:val="00285048"/>
    <w:rsid w:val="00285D0F"/>
    <w:rsid w:val="002913B1"/>
    <w:rsid w:val="00292BCC"/>
    <w:rsid w:val="00294545"/>
    <w:rsid w:val="00297525"/>
    <w:rsid w:val="002A0E44"/>
    <w:rsid w:val="002A0EBF"/>
    <w:rsid w:val="002A22A2"/>
    <w:rsid w:val="002A36A1"/>
    <w:rsid w:val="002A4ECE"/>
    <w:rsid w:val="002A4EDD"/>
    <w:rsid w:val="002A615B"/>
    <w:rsid w:val="002A7028"/>
    <w:rsid w:val="002B1525"/>
    <w:rsid w:val="002B318E"/>
    <w:rsid w:val="002B4A25"/>
    <w:rsid w:val="002B6429"/>
    <w:rsid w:val="002B7C9B"/>
    <w:rsid w:val="002C316D"/>
    <w:rsid w:val="002C357B"/>
    <w:rsid w:val="002D0627"/>
    <w:rsid w:val="002D372F"/>
    <w:rsid w:val="002E132A"/>
    <w:rsid w:val="002E14D3"/>
    <w:rsid w:val="002E20C5"/>
    <w:rsid w:val="002E2311"/>
    <w:rsid w:val="002E331D"/>
    <w:rsid w:val="002E59DC"/>
    <w:rsid w:val="002E5E9F"/>
    <w:rsid w:val="002E5FCF"/>
    <w:rsid w:val="002E6968"/>
    <w:rsid w:val="002E74E6"/>
    <w:rsid w:val="002F53D1"/>
    <w:rsid w:val="00301EBE"/>
    <w:rsid w:val="003051D6"/>
    <w:rsid w:val="003055B7"/>
    <w:rsid w:val="00305D40"/>
    <w:rsid w:val="00306968"/>
    <w:rsid w:val="003100A9"/>
    <w:rsid w:val="00312698"/>
    <w:rsid w:val="003145F9"/>
    <w:rsid w:val="003147C2"/>
    <w:rsid w:val="00315241"/>
    <w:rsid w:val="0031582D"/>
    <w:rsid w:val="00316277"/>
    <w:rsid w:val="0031651E"/>
    <w:rsid w:val="0032195A"/>
    <w:rsid w:val="003228B5"/>
    <w:rsid w:val="00325B6D"/>
    <w:rsid w:val="00326FD7"/>
    <w:rsid w:val="00334B01"/>
    <w:rsid w:val="00335C91"/>
    <w:rsid w:val="00337D36"/>
    <w:rsid w:val="00337DCA"/>
    <w:rsid w:val="00341C22"/>
    <w:rsid w:val="003431EA"/>
    <w:rsid w:val="0034772D"/>
    <w:rsid w:val="003512E7"/>
    <w:rsid w:val="00353376"/>
    <w:rsid w:val="0035381C"/>
    <w:rsid w:val="003540C5"/>
    <w:rsid w:val="00354FC8"/>
    <w:rsid w:val="00360B61"/>
    <w:rsid w:val="003615DE"/>
    <w:rsid w:val="00362ADE"/>
    <w:rsid w:val="00362F8D"/>
    <w:rsid w:val="003637F0"/>
    <w:rsid w:val="00363A1C"/>
    <w:rsid w:val="00363DC8"/>
    <w:rsid w:val="003644D0"/>
    <w:rsid w:val="0036466E"/>
    <w:rsid w:val="00364749"/>
    <w:rsid w:val="00365B00"/>
    <w:rsid w:val="00366627"/>
    <w:rsid w:val="00371B41"/>
    <w:rsid w:val="00371CA5"/>
    <w:rsid w:val="0037528F"/>
    <w:rsid w:val="00376E83"/>
    <w:rsid w:val="003772EE"/>
    <w:rsid w:val="0038278A"/>
    <w:rsid w:val="003837BB"/>
    <w:rsid w:val="00384790"/>
    <w:rsid w:val="0039098B"/>
    <w:rsid w:val="0039125C"/>
    <w:rsid w:val="00395C4C"/>
    <w:rsid w:val="00396CCC"/>
    <w:rsid w:val="003A1E6E"/>
    <w:rsid w:val="003A1EBE"/>
    <w:rsid w:val="003A22B6"/>
    <w:rsid w:val="003A4B92"/>
    <w:rsid w:val="003A594C"/>
    <w:rsid w:val="003A67A4"/>
    <w:rsid w:val="003A7BAF"/>
    <w:rsid w:val="003B000A"/>
    <w:rsid w:val="003B00C8"/>
    <w:rsid w:val="003B03CC"/>
    <w:rsid w:val="003B053C"/>
    <w:rsid w:val="003B0D0E"/>
    <w:rsid w:val="003B34B6"/>
    <w:rsid w:val="003B4CC4"/>
    <w:rsid w:val="003B6398"/>
    <w:rsid w:val="003B7964"/>
    <w:rsid w:val="003C0CA1"/>
    <w:rsid w:val="003C1E7E"/>
    <w:rsid w:val="003C33DB"/>
    <w:rsid w:val="003C39E5"/>
    <w:rsid w:val="003C4451"/>
    <w:rsid w:val="003C45F1"/>
    <w:rsid w:val="003C5B85"/>
    <w:rsid w:val="003C67AE"/>
    <w:rsid w:val="003D0114"/>
    <w:rsid w:val="003D223E"/>
    <w:rsid w:val="003D2B26"/>
    <w:rsid w:val="003D338D"/>
    <w:rsid w:val="003D5753"/>
    <w:rsid w:val="003D6DA6"/>
    <w:rsid w:val="003E1705"/>
    <w:rsid w:val="003E3404"/>
    <w:rsid w:val="003E35C9"/>
    <w:rsid w:val="003E7DD8"/>
    <w:rsid w:val="003F0473"/>
    <w:rsid w:val="003F0613"/>
    <w:rsid w:val="003F210B"/>
    <w:rsid w:val="003F3715"/>
    <w:rsid w:val="003F4C13"/>
    <w:rsid w:val="00400CD6"/>
    <w:rsid w:val="00404181"/>
    <w:rsid w:val="00404C27"/>
    <w:rsid w:val="00406416"/>
    <w:rsid w:val="00406E45"/>
    <w:rsid w:val="00406F02"/>
    <w:rsid w:val="004100F6"/>
    <w:rsid w:val="0041443A"/>
    <w:rsid w:val="00420432"/>
    <w:rsid w:val="00420F59"/>
    <w:rsid w:val="00422108"/>
    <w:rsid w:val="0042461E"/>
    <w:rsid w:val="0042531E"/>
    <w:rsid w:val="00426249"/>
    <w:rsid w:val="0042642A"/>
    <w:rsid w:val="00427F65"/>
    <w:rsid w:val="004309E5"/>
    <w:rsid w:val="00430C30"/>
    <w:rsid w:val="00431E36"/>
    <w:rsid w:val="00435882"/>
    <w:rsid w:val="004379AE"/>
    <w:rsid w:val="00441975"/>
    <w:rsid w:val="0044223B"/>
    <w:rsid w:val="0044224F"/>
    <w:rsid w:val="00442F3E"/>
    <w:rsid w:val="004462F5"/>
    <w:rsid w:val="00447981"/>
    <w:rsid w:val="00452011"/>
    <w:rsid w:val="004527D0"/>
    <w:rsid w:val="00454F51"/>
    <w:rsid w:val="00461006"/>
    <w:rsid w:val="00461E8B"/>
    <w:rsid w:val="00465C35"/>
    <w:rsid w:val="00467673"/>
    <w:rsid w:val="00471CCA"/>
    <w:rsid w:val="00472040"/>
    <w:rsid w:val="00472D60"/>
    <w:rsid w:val="00472E5F"/>
    <w:rsid w:val="00473F26"/>
    <w:rsid w:val="00473FC8"/>
    <w:rsid w:val="00474CB1"/>
    <w:rsid w:val="004754E9"/>
    <w:rsid w:val="00475919"/>
    <w:rsid w:val="00475F83"/>
    <w:rsid w:val="00476F1B"/>
    <w:rsid w:val="004807B9"/>
    <w:rsid w:val="004836EE"/>
    <w:rsid w:val="00483AF6"/>
    <w:rsid w:val="00483B61"/>
    <w:rsid w:val="00484A32"/>
    <w:rsid w:val="004857B7"/>
    <w:rsid w:val="00486803"/>
    <w:rsid w:val="00490225"/>
    <w:rsid w:val="00492CBB"/>
    <w:rsid w:val="004945BC"/>
    <w:rsid w:val="0049550D"/>
    <w:rsid w:val="00495791"/>
    <w:rsid w:val="00496CB6"/>
    <w:rsid w:val="00497E0F"/>
    <w:rsid w:val="004A2D4E"/>
    <w:rsid w:val="004A2E8D"/>
    <w:rsid w:val="004A3EAE"/>
    <w:rsid w:val="004A69F1"/>
    <w:rsid w:val="004A732F"/>
    <w:rsid w:val="004A7A3E"/>
    <w:rsid w:val="004B0693"/>
    <w:rsid w:val="004B210C"/>
    <w:rsid w:val="004B2451"/>
    <w:rsid w:val="004B41C2"/>
    <w:rsid w:val="004B5A8C"/>
    <w:rsid w:val="004B74A0"/>
    <w:rsid w:val="004C0204"/>
    <w:rsid w:val="004C0FE9"/>
    <w:rsid w:val="004C29D2"/>
    <w:rsid w:val="004C2BB1"/>
    <w:rsid w:val="004C486B"/>
    <w:rsid w:val="004C7156"/>
    <w:rsid w:val="004C798F"/>
    <w:rsid w:val="004C7F0C"/>
    <w:rsid w:val="004D2546"/>
    <w:rsid w:val="004D2661"/>
    <w:rsid w:val="004D3FD4"/>
    <w:rsid w:val="004D4219"/>
    <w:rsid w:val="004D5BFF"/>
    <w:rsid w:val="004D69EC"/>
    <w:rsid w:val="004D7758"/>
    <w:rsid w:val="004E0F65"/>
    <w:rsid w:val="004E5FA8"/>
    <w:rsid w:val="004F1071"/>
    <w:rsid w:val="004F12C2"/>
    <w:rsid w:val="004F2CC6"/>
    <w:rsid w:val="004F3090"/>
    <w:rsid w:val="004F43F8"/>
    <w:rsid w:val="004F457E"/>
    <w:rsid w:val="004F4860"/>
    <w:rsid w:val="004F7807"/>
    <w:rsid w:val="00503440"/>
    <w:rsid w:val="00504182"/>
    <w:rsid w:val="00507027"/>
    <w:rsid w:val="00507047"/>
    <w:rsid w:val="00511088"/>
    <w:rsid w:val="005122BA"/>
    <w:rsid w:val="005129AA"/>
    <w:rsid w:val="0051321D"/>
    <w:rsid w:val="00513C8B"/>
    <w:rsid w:val="00514325"/>
    <w:rsid w:val="00514B1E"/>
    <w:rsid w:val="00515593"/>
    <w:rsid w:val="00516B26"/>
    <w:rsid w:val="00523211"/>
    <w:rsid w:val="00523C86"/>
    <w:rsid w:val="00524BC6"/>
    <w:rsid w:val="00525DAD"/>
    <w:rsid w:val="0053020D"/>
    <w:rsid w:val="005311DE"/>
    <w:rsid w:val="00532112"/>
    <w:rsid w:val="005324C9"/>
    <w:rsid w:val="00532836"/>
    <w:rsid w:val="00533149"/>
    <w:rsid w:val="00533493"/>
    <w:rsid w:val="00533583"/>
    <w:rsid w:val="0053380E"/>
    <w:rsid w:val="00534C54"/>
    <w:rsid w:val="0054084A"/>
    <w:rsid w:val="00541E71"/>
    <w:rsid w:val="0054398C"/>
    <w:rsid w:val="005448EC"/>
    <w:rsid w:val="00551173"/>
    <w:rsid w:val="00553546"/>
    <w:rsid w:val="00561365"/>
    <w:rsid w:val="00561EA6"/>
    <w:rsid w:val="005625B9"/>
    <w:rsid w:val="0056667A"/>
    <w:rsid w:val="005678FB"/>
    <w:rsid w:val="00567B11"/>
    <w:rsid w:val="00567C1A"/>
    <w:rsid w:val="00567E77"/>
    <w:rsid w:val="005708E3"/>
    <w:rsid w:val="00571395"/>
    <w:rsid w:val="00572A06"/>
    <w:rsid w:val="005748A3"/>
    <w:rsid w:val="00576351"/>
    <w:rsid w:val="005833E0"/>
    <w:rsid w:val="00585244"/>
    <w:rsid w:val="00585E09"/>
    <w:rsid w:val="00586AFD"/>
    <w:rsid w:val="00590B80"/>
    <w:rsid w:val="0059191E"/>
    <w:rsid w:val="0059351E"/>
    <w:rsid w:val="00593ACE"/>
    <w:rsid w:val="00595686"/>
    <w:rsid w:val="005972B7"/>
    <w:rsid w:val="005A1D55"/>
    <w:rsid w:val="005A4AF9"/>
    <w:rsid w:val="005A69B6"/>
    <w:rsid w:val="005A7A7B"/>
    <w:rsid w:val="005A7CA0"/>
    <w:rsid w:val="005B0A0B"/>
    <w:rsid w:val="005B5A43"/>
    <w:rsid w:val="005B7A64"/>
    <w:rsid w:val="005B7D44"/>
    <w:rsid w:val="005C29B5"/>
    <w:rsid w:val="005C2B92"/>
    <w:rsid w:val="005C4F9B"/>
    <w:rsid w:val="005C6472"/>
    <w:rsid w:val="005C74B4"/>
    <w:rsid w:val="005D04F2"/>
    <w:rsid w:val="005D16D6"/>
    <w:rsid w:val="005D4C63"/>
    <w:rsid w:val="005D55CB"/>
    <w:rsid w:val="005D5F29"/>
    <w:rsid w:val="005D601C"/>
    <w:rsid w:val="005D6982"/>
    <w:rsid w:val="005E0F48"/>
    <w:rsid w:val="005E66ED"/>
    <w:rsid w:val="005E7907"/>
    <w:rsid w:val="005F00B7"/>
    <w:rsid w:val="005F23E3"/>
    <w:rsid w:val="005F27F4"/>
    <w:rsid w:val="005F2D48"/>
    <w:rsid w:val="005F5923"/>
    <w:rsid w:val="005F744C"/>
    <w:rsid w:val="005F788A"/>
    <w:rsid w:val="005F7E21"/>
    <w:rsid w:val="00601B57"/>
    <w:rsid w:val="0060367B"/>
    <w:rsid w:val="00603E07"/>
    <w:rsid w:val="00604183"/>
    <w:rsid w:val="00605484"/>
    <w:rsid w:val="00605C23"/>
    <w:rsid w:val="00610F8A"/>
    <w:rsid w:val="00611851"/>
    <w:rsid w:val="00611AC0"/>
    <w:rsid w:val="0061203A"/>
    <w:rsid w:val="00612339"/>
    <w:rsid w:val="00612F51"/>
    <w:rsid w:val="00613312"/>
    <w:rsid w:val="00613617"/>
    <w:rsid w:val="00617339"/>
    <w:rsid w:val="00617C40"/>
    <w:rsid w:val="006207B3"/>
    <w:rsid w:val="00622E17"/>
    <w:rsid w:val="00623632"/>
    <w:rsid w:val="00624E6F"/>
    <w:rsid w:val="00630149"/>
    <w:rsid w:val="00631F1D"/>
    <w:rsid w:val="006322FF"/>
    <w:rsid w:val="0063232E"/>
    <w:rsid w:val="00634B3A"/>
    <w:rsid w:val="0063511A"/>
    <w:rsid w:val="00636B36"/>
    <w:rsid w:val="00636E22"/>
    <w:rsid w:val="00637273"/>
    <w:rsid w:val="00643748"/>
    <w:rsid w:val="00645B02"/>
    <w:rsid w:val="0064677F"/>
    <w:rsid w:val="00647047"/>
    <w:rsid w:val="00651A51"/>
    <w:rsid w:val="00652691"/>
    <w:rsid w:val="0065477F"/>
    <w:rsid w:val="00655393"/>
    <w:rsid w:val="006559B9"/>
    <w:rsid w:val="00656925"/>
    <w:rsid w:val="00656C34"/>
    <w:rsid w:val="00657543"/>
    <w:rsid w:val="00661275"/>
    <w:rsid w:val="0066155A"/>
    <w:rsid w:val="00661BEF"/>
    <w:rsid w:val="00663E68"/>
    <w:rsid w:val="006648AF"/>
    <w:rsid w:val="006703FC"/>
    <w:rsid w:val="006710C6"/>
    <w:rsid w:val="00671DDF"/>
    <w:rsid w:val="006732A4"/>
    <w:rsid w:val="0067562A"/>
    <w:rsid w:val="00676052"/>
    <w:rsid w:val="00677267"/>
    <w:rsid w:val="0068702D"/>
    <w:rsid w:val="00690BCB"/>
    <w:rsid w:val="006910DD"/>
    <w:rsid w:val="00693327"/>
    <w:rsid w:val="006936C8"/>
    <w:rsid w:val="00693DD1"/>
    <w:rsid w:val="00694BC5"/>
    <w:rsid w:val="00695235"/>
    <w:rsid w:val="00695A20"/>
    <w:rsid w:val="006A01A1"/>
    <w:rsid w:val="006A059A"/>
    <w:rsid w:val="006A34CE"/>
    <w:rsid w:val="006A4EF0"/>
    <w:rsid w:val="006A7D58"/>
    <w:rsid w:val="006B4DB4"/>
    <w:rsid w:val="006B5635"/>
    <w:rsid w:val="006B5DB7"/>
    <w:rsid w:val="006C2EED"/>
    <w:rsid w:val="006C3611"/>
    <w:rsid w:val="006C3620"/>
    <w:rsid w:val="006C5958"/>
    <w:rsid w:val="006C6FEC"/>
    <w:rsid w:val="006D1AA6"/>
    <w:rsid w:val="006D2E33"/>
    <w:rsid w:val="006D3AC0"/>
    <w:rsid w:val="006D46A4"/>
    <w:rsid w:val="006D5CD1"/>
    <w:rsid w:val="006E0E0D"/>
    <w:rsid w:val="006E2BFB"/>
    <w:rsid w:val="006E3BD4"/>
    <w:rsid w:val="006E4231"/>
    <w:rsid w:val="006E4E0E"/>
    <w:rsid w:val="006E6B42"/>
    <w:rsid w:val="006E7083"/>
    <w:rsid w:val="006F03A2"/>
    <w:rsid w:val="006F29DE"/>
    <w:rsid w:val="006F53FD"/>
    <w:rsid w:val="006F69EC"/>
    <w:rsid w:val="006F6AE8"/>
    <w:rsid w:val="006F7F0B"/>
    <w:rsid w:val="00703A85"/>
    <w:rsid w:val="00704A7F"/>
    <w:rsid w:val="00705AFB"/>
    <w:rsid w:val="007063D2"/>
    <w:rsid w:val="007077A8"/>
    <w:rsid w:val="00707D9F"/>
    <w:rsid w:val="0071029C"/>
    <w:rsid w:val="007109DF"/>
    <w:rsid w:val="00711531"/>
    <w:rsid w:val="0071219A"/>
    <w:rsid w:val="00713901"/>
    <w:rsid w:val="00713C37"/>
    <w:rsid w:val="00715FBC"/>
    <w:rsid w:val="0071642B"/>
    <w:rsid w:val="00717028"/>
    <w:rsid w:val="00721D7D"/>
    <w:rsid w:val="00724991"/>
    <w:rsid w:val="00725368"/>
    <w:rsid w:val="00726966"/>
    <w:rsid w:val="00731802"/>
    <w:rsid w:val="007334BF"/>
    <w:rsid w:val="0073632B"/>
    <w:rsid w:val="0074054D"/>
    <w:rsid w:val="00741677"/>
    <w:rsid w:val="007416D2"/>
    <w:rsid w:val="00743673"/>
    <w:rsid w:val="00743E97"/>
    <w:rsid w:val="007452A8"/>
    <w:rsid w:val="00751851"/>
    <w:rsid w:val="00752660"/>
    <w:rsid w:val="00753B21"/>
    <w:rsid w:val="007551E8"/>
    <w:rsid w:val="007603E3"/>
    <w:rsid w:val="007616F0"/>
    <w:rsid w:val="00761E79"/>
    <w:rsid w:val="0076361A"/>
    <w:rsid w:val="00765190"/>
    <w:rsid w:val="007660B0"/>
    <w:rsid w:val="0076615B"/>
    <w:rsid w:val="007667F6"/>
    <w:rsid w:val="00770A24"/>
    <w:rsid w:val="00774B6C"/>
    <w:rsid w:val="00774E74"/>
    <w:rsid w:val="00775653"/>
    <w:rsid w:val="00776447"/>
    <w:rsid w:val="007773E8"/>
    <w:rsid w:val="00777F92"/>
    <w:rsid w:val="00780EBE"/>
    <w:rsid w:val="0078114F"/>
    <w:rsid w:val="00781DD7"/>
    <w:rsid w:val="007836AE"/>
    <w:rsid w:val="00785F2E"/>
    <w:rsid w:val="0079107E"/>
    <w:rsid w:val="007920F6"/>
    <w:rsid w:val="00793100"/>
    <w:rsid w:val="007956AF"/>
    <w:rsid w:val="007A3BD8"/>
    <w:rsid w:val="007A3DB6"/>
    <w:rsid w:val="007A5192"/>
    <w:rsid w:val="007A6902"/>
    <w:rsid w:val="007A6D92"/>
    <w:rsid w:val="007B017B"/>
    <w:rsid w:val="007B1E49"/>
    <w:rsid w:val="007B35AF"/>
    <w:rsid w:val="007B4F5E"/>
    <w:rsid w:val="007B581D"/>
    <w:rsid w:val="007B6C9A"/>
    <w:rsid w:val="007B78AF"/>
    <w:rsid w:val="007B7A85"/>
    <w:rsid w:val="007C0D15"/>
    <w:rsid w:val="007C1930"/>
    <w:rsid w:val="007C297C"/>
    <w:rsid w:val="007C5767"/>
    <w:rsid w:val="007C7601"/>
    <w:rsid w:val="007C7B3A"/>
    <w:rsid w:val="007D029E"/>
    <w:rsid w:val="007D1965"/>
    <w:rsid w:val="007D40D0"/>
    <w:rsid w:val="007D6966"/>
    <w:rsid w:val="007E2FD2"/>
    <w:rsid w:val="007E4DE6"/>
    <w:rsid w:val="007F1519"/>
    <w:rsid w:val="007F2562"/>
    <w:rsid w:val="007F3069"/>
    <w:rsid w:val="007F40A1"/>
    <w:rsid w:val="007F52BB"/>
    <w:rsid w:val="007F7D9D"/>
    <w:rsid w:val="00801BBD"/>
    <w:rsid w:val="00805AA2"/>
    <w:rsid w:val="0080711B"/>
    <w:rsid w:val="00807742"/>
    <w:rsid w:val="00807F01"/>
    <w:rsid w:val="00812024"/>
    <w:rsid w:val="008132C0"/>
    <w:rsid w:val="00814999"/>
    <w:rsid w:val="00815830"/>
    <w:rsid w:val="0081692B"/>
    <w:rsid w:val="008231BD"/>
    <w:rsid w:val="00824312"/>
    <w:rsid w:val="008243D6"/>
    <w:rsid w:val="00825026"/>
    <w:rsid w:val="00825B39"/>
    <w:rsid w:val="00831605"/>
    <w:rsid w:val="00831D52"/>
    <w:rsid w:val="00833F1E"/>
    <w:rsid w:val="00834323"/>
    <w:rsid w:val="00835750"/>
    <w:rsid w:val="00835EB4"/>
    <w:rsid w:val="00841500"/>
    <w:rsid w:val="008426A9"/>
    <w:rsid w:val="00844645"/>
    <w:rsid w:val="00844C10"/>
    <w:rsid w:val="00844DE4"/>
    <w:rsid w:val="00845651"/>
    <w:rsid w:val="00846CCE"/>
    <w:rsid w:val="00847F55"/>
    <w:rsid w:val="008515B4"/>
    <w:rsid w:val="00852845"/>
    <w:rsid w:val="00857BFA"/>
    <w:rsid w:val="0086070B"/>
    <w:rsid w:val="00860EA6"/>
    <w:rsid w:val="00860F51"/>
    <w:rsid w:val="00861F34"/>
    <w:rsid w:val="00862587"/>
    <w:rsid w:val="00862DEA"/>
    <w:rsid w:val="00864051"/>
    <w:rsid w:val="00864268"/>
    <w:rsid w:val="008666CD"/>
    <w:rsid w:val="00866744"/>
    <w:rsid w:val="008704DA"/>
    <w:rsid w:val="00871191"/>
    <w:rsid w:val="008731C1"/>
    <w:rsid w:val="00875A8E"/>
    <w:rsid w:val="008773B5"/>
    <w:rsid w:val="00880544"/>
    <w:rsid w:val="00881169"/>
    <w:rsid w:val="00890BD8"/>
    <w:rsid w:val="00891D3B"/>
    <w:rsid w:val="00892242"/>
    <w:rsid w:val="0089252F"/>
    <w:rsid w:val="00892568"/>
    <w:rsid w:val="008931A9"/>
    <w:rsid w:val="008936A5"/>
    <w:rsid w:val="00893EAE"/>
    <w:rsid w:val="0089681E"/>
    <w:rsid w:val="008A047D"/>
    <w:rsid w:val="008A0E6A"/>
    <w:rsid w:val="008A4A6C"/>
    <w:rsid w:val="008B0335"/>
    <w:rsid w:val="008B1EE6"/>
    <w:rsid w:val="008B2506"/>
    <w:rsid w:val="008B4848"/>
    <w:rsid w:val="008B4B25"/>
    <w:rsid w:val="008B5B6D"/>
    <w:rsid w:val="008B5D48"/>
    <w:rsid w:val="008B6494"/>
    <w:rsid w:val="008C0A54"/>
    <w:rsid w:val="008C1480"/>
    <w:rsid w:val="008C3EC9"/>
    <w:rsid w:val="008C6B8F"/>
    <w:rsid w:val="008C78FA"/>
    <w:rsid w:val="008D004E"/>
    <w:rsid w:val="008D0A35"/>
    <w:rsid w:val="008D27CC"/>
    <w:rsid w:val="008D2C61"/>
    <w:rsid w:val="008D2CF9"/>
    <w:rsid w:val="008D42B7"/>
    <w:rsid w:val="008D65D2"/>
    <w:rsid w:val="008D683C"/>
    <w:rsid w:val="008D7C4A"/>
    <w:rsid w:val="008E137C"/>
    <w:rsid w:val="008E317E"/>
    <w:rsid w:val="008E385C"/>
    <w:rsid w:val="008E4FF4"/>
    <w:rsid w:val="008E5324"/>
    <w:rsid w:val="008E5390"/>
    <w:rsid w:val="008E5715"/>
    <w:rsid w:val="008E6D98"/>
    <w:rsid w:val="008F02C0"/>
    <w:rsid w:val="008F08C7"/>
    <w:rsid w:val="008F2520"/>
    <w:rsid w:val="008F32D8"/>
    <w:rsid w:val="008F3464"/>
    <w:rsid w:val="008F455C"/>
    <w:rsid w:val="008F5A20"/>
    <w:rsid w:val="008F5FF5"/>
    <w:rsid w:val="008F6DE4"/>
    <w:rsid w:val="008F7C8A"/>
    <w:rsid w:val="009061BB"/>
    <w:rsid w:val="00910595"/>
    <w:rsid w:val="00914FC6"/>
    <w:rsid w:val="0091509E"/>
    <w:rsid w:val="0091543C"/>
    <w:rsid w:val="009165BE"/>
    <w:rsid w:val="009166A4"/>
    <w:rsid w:val="00917758"/>
    <w:rsid w:val="00921585"/>
    <w:rsid w:val="009219C1"/>
    <w:rsid w:val="00922666"/>
    <w:rsid w:val="00922C25"/>
    <w:rsid w:val="009233E3"/>
    <w:rsid w:val="00925205"/>
    <w:rsid w:val="009300A6"/>
    <w:rsid w:val="009308B9"/>
    <w:rsid w:val="00930AFD"/>
    <w:rsid w:val="009328C6"/>
    <w:rsid w:val="00933CC7"/>
    <w:rsid w:val="00933ED1"/>
    <w:rsid w:val="00934139"/>
    <w:rsid w:val="0093496E"/>
    <w:rsid w:val="00937A30"/>
    <w:rsid w:val="00952136"/>
    <w:rsid w:val="00954017"/>
    <w:rsid w:val="009548D8"/>
    <w:rsid w:val="00955B60"/>
    <w:rsid w:val="00956AFF"/>
    <w:rsid w:val="00957004"/>
    <w:rsid w:val="009571A3"/>
    <w:rsid w:val="009571D5"/>
    <w:rsid w:val="009573C1"/>
    <w:rsid w:val="009575DD"/>
    <w:rsid w:val="00957BFC"/>
    <w:rsid w:val="00957C72"/>
    <w:rsid w:val="00962AC5"/>
    <w:rsid w:val="00963AA6"/>
    <w:rsid w:val="00966326"/>
    <w:rsid w:val="00966BCF"/>
    <w:rsid w:val="00966C53"/>
    <w:rsid w:val="00971FC4"/>
    <w:rsid w:val="00973430"/>
    <w:rsid w:val="0097435C"/>
    <w:rsid w:val="00975DA3"/>
    <w:rsid w:val="00976DF4"/>
    <w:rsid w:val="00977964"/>
    <w:rsid w:val="009813DA"/>
    <w:rsid w:val="00981F4D"/>
    <w:rsid w:val="009827F0"/>
    <w:rsid w:val="00982B38"/>
    <w:rsid w:val="009839A6"/>
    <w:rsid w:val="0098525B"/>
    <w:rsid w:val="00985938"/>
    <w:rsid w:val="0098607B"/>
    <w:rsid w:val="009861ED"/>
    <w:rsid w:val="009861F5"/>
    <w:rsid w:val="009877D6"/>
    <w:rsid w:val="00991552"/>
    <w:rsid w:val="00991956"/>
    <w:rsid w:val="00993BCD"/>
    <w:rsid w:val="00995632"/>
    <w:rsid w:val="00996719"/>
    <w:rsid w:val="00997A67"/>
    <w:rsid w:val="00997C1F"/>
    <w:rsid w:val="009A117A"/>
    <w:rsid w:val="009A1274"/>
    <w:rsid w:val="009A29C7"/>
    <w:rsid w:val="009A5AA1"/>
    <w:rsid w:val="009A7074"/>
    <w:rsid w:val="009B02C2"/>
    <w:rsid w:val="009B32EA"/>
    <w:rsid w:val="009B53FA"/>
    <w:rsid w:val="009B6C5E"/>
    <w:rsid w:val="009B71A0"/>
    <w:rsid w:val="009B79DF"/>
    <w:rsid w:val="009C01F5"/>
    <w:rsid w:val="009C3613"/>
    <w:rsid w:val="009C4711"/>
    <w:rsid w:val="009C4821"/>
    <w:rsid w:val="009C4FF3"/>
    <w:rsid w:val="009C6125"/>
    <w:rsid w:val="009C68A6"/>
    <w:rsid w:val="009C6F37"/>
    <w:rsid w:val="009C721D"/>
    <w:rsid w:val="009C798B"/>
    <w:rsid w:val="009D33EF"/>
    <w:rsid w:val="009D5487"/>
    <w:rsid w:val="009D5779"/>
    <w:rsid w:val="009D6D11"/>
    <w:rsid w:val="009E1F5D"/>
    <w:rsid w:val="009E2B9E"/>
    <w:rsid w:val="009E5E4C"/>
    <w:rsid w:val="009E6B51"/>
    <w:rsid w:val="009F07B3"/>
    <w:rsid w:val="009F105E"/>
    <w:rsid w:val="009F27A9"/>
    <w:rsid w:val="009F28ED"/>
    <w:rsid w:val="009F4185"/>
    <w:rsid w:val="009F64E7"/>
    <w:rsid w:val="009F7176"/>
    <w:rsid w:val="00A0007F"/>
    <w:rsid w:val="00A01B83"/>
    <w:rsid w:val="00A03016"/>
    <w:rsid w:val="00A034A2"/>
    <w:rsid w:val="00A03930"/>
    <w:rsid w:val="00A05FA9"/>
    <w:rsid w:val="00A061D9"/>
    <w:rsid w:val="00A0717B"/>
    <w:rsid w:val="00A078B2"/>
    <w:rsid w:val="00A07AAF"/>
    <w:rsid w:val="00A07D66"/>
    <w:rsid w:val="00A11015"/>
    <w:rsid w:val="00A11121"/>
    <w:rsid w:val="00A131F2"/>
    <w:rsid w:val="00A14744"/>
    <w:rsid w:val="00A162C6"/>
    <w:rsid w:val="00A16E58"/>
    <w:rsid w:val="00A172D0"/>
    <w:rsid w:val="00A20B98"/>
    <w:rsid w:val="00A222EE"/>
    <w:rsid w:val="00A24419"/>
    <w:rsid w:val="00A24610"/>
    <w:rsid w:val="00A25715"/>
    <w:rsid w:val="00A26607"/>
    <w:rsid w:val="00A272DE"/>
    <w:rsid w:val="00A27346"/>
    <w:rsid w:val="00A27538"/>
    <w:rsid w:val="00A312BE"/>
    <w:rsid w:val="00A31A1E"/>
    <w:rsid w:val="00A323AC"/>
    <w:rsid w:val="00A33BCF"/>
    <w:rsid w:val="00A33F8D"/>
    <w:rsid w:val="00A34C76"/>
    <w:rsid w:val="00A34FBD"/>
    <w:rsid w:val="00A35BA8"/>
    <w:rsid w:val="00A374F9"/>
    <w:rsid w:val="00A442DF"/>
    <w:rsid w:val="00A4578B"/>
    <w:rsid w:val="00A46CC4"/>
    <w:rsid w:val="00A53088"/>
    <w:rsid w:val="00A53BB8"/>
    <w:rsid w:val="00A56BF7"/>
    <w:rsid w:val="00A608D7"/>
    <w:rsid w:val="00A60983"/>
    <w:rsid w:val="00A6186D"/>
    <w:rsid w:val="00A648FE"/>
    <w:rsid w:val="00A67A78"/>
    <w:rsid w:val="00A714C8"/>
    <w:rsid w:val="00A74EB7"/>
    <w:rsid w:val="00A75F3B"/>
    <w:rsid w:val="00A76CA9"/>
    <w:rsid w:val="00A76D0A"/>
    <w:rsid w:val="00A802DD"/>
    <w:rsid w:val="00A81BDD"/>
    <w:rsid w:val="00A83111"/>
    <w:rsid w:val="00A83ED0"/>
    <w:rsid w:val="00A86D17"/>
    <w:rsid w:val="00A90C4E"/>
    <w:rsid w:val="00A930DC"/>
    <w:rsid w:val="00A948F3"/>
    <w:rsid w:val="00A964DD"/>
    <w:rsid w:val="00AA18F0"/>
    <w:rsid w:val="00AA2627"/>
    <w:rsid w:val="00AA3A8C"/>
    <w:rsid w:val="00AA4100"/>
    <w:rsid w:val="00AA5DCE"/>
    <w:rsid w:val="00AB2CAA"/>
    <w:rsid w:val="00AB2E91"/>
    <w:rsid w:val="00AB311D"/>
    <w:rsid w:val="00AB58A4"/>
    <w:rsid w:val="00AB59B9"/>
    <w:rsid w:val="00AB6AB1"/>
    <w:rsid w:val="00AB77EE"/>
    <w:rsid w:val="00AC0862"/>
    <w:rsid w:val="00AC4BA8"/>
    <w:rsid w:val="00AC5FA6"/>
    <w:rsid w:val="00AC6294"/>
    <w:rsid w:val="00AD015E"/>
    <w:rsid w:val="00AD151A"/>
    <w:rsid w:val="00AD1A4E"/>
    <w:rsid w:val="00AD3855"/>
    <w:rsid w:val="00AD6A65"/>
    <w:rsid w:val="00AD71E8"/>
    <w:rsid w:val="00AD7C2C"/>
    <w:rsid w:val="00AD7F0B"/>
    <w:rsid w:val="00AE03E0"/>
    <w:rsid w:val="00AE1A40"/>
    <w:rsid w:val="00AE26BE"/>
    <w:rsid w:val="00AE2975"/>
    <w:rsid w:val="00AE3A34"/>
    <w:rsid w:val="00AE4668"/>
    <w:rsid w:val="00AE480D"/>
    <w:rsid w:val="00AE4F29"/>
    <w:rsid w:val="00AE6E4A"/>
    <w:rsid w:val="00AF0886"/>
    <w:rsid w:val="00AF6CEC"/>
    <w:rsid w:val="00B0025E"/>
    <w:rsid w:val="00B038EA"/>
    <w:rsid w:val="00B04382"/>
    <w:rsid w:val="00B05081"/>
    <w:rsid w:val="00B0669E"/>
    <w:rsid w:val="00B1162F"/>
    <w:rsid w:val="00B14158"/>
    <w:rsid w:val="00B160A6"/>
    <w:rsid w:val="00B171B5"/>
    <w:rsid w:val="00B212C0"/>
    <w:rsid w:val="00B23273"/>
    <w:rsid w:val="00B2386A"/>
    <w:rsid w:val="00B27B3A"/>
    <w:rsid w:val="00B307E5"/>
    <w:rsid w:val="00B361B6"/>
    <w:rsid w:val="00B365AC"/>
    <w:rsid w:val="00B372D5"/>
    <w:rsid w:val="00B40DD1"/>
    <w:rsid w:val="00B4147C"/>
    <w:rsid w:val="00B41C5C"/>
    <w:rsid w:val="00B51088"/>
    <w:rsid w:val="00B519F5"/>
    <w:rsid w:val="00B528DC"/>
    <w:rsid w:val="00B53F7F"/>
    <w:rsid w:val="00B56C0B"/>
    <w:rsid w:val="00B570FD"/>
    <w:rsid w:val="00B575E9"/>
    <w:rsid w:val="00B579FA"/>
    <w:rsid w:val="00B623AA"/>
    <w:rsid w:val="00B62637"/>
    <w:rsid w:val="00B652C3"/>
    <w:rsid w:val="00B659A4"/>
    <w:rsid w:val="00B67264"/>
    <w:rsid w:val="00B67A70"/>
    <w:rsid w:val="00B7133F"/>
    <w:rsid w:val="00B779F3"/>
    <w:rsid w:val="00B809C1"/>
    <w:rsid w:val="00B8328C"/>
    <w:rsid w:val="00B85FED"/>
    <w:rsid w:val="00B86AC7"/>
    <w:rsid w:val="00B87A1A"/>
    <w:rsid w:val="00B87D91"/>
    <w:rsid w:val="00B92759"/>
    <w:rsid w:val="00B953D4"/>
    <w:rsid w:val="00B95A59"/>
    <w:rsid w:val="00B97055"/>
    <w:rsid w:val="00BA0405"/>
    <w:rsid w:val="00BA22C2"/>
    <w:rsid w:val="00BA2A6C"/>
    <w:rsid w:val="00BA33F7"/>
    <w:rsid w:val="00BA3B42"/>
    <w:rsid w:val="00BA578D"/>
    <w:rsid w:val="00BA71CA"/>
    <w:rsid w:val="00BA7FD6"/>
    <w:rsid w:val="00BB0FA0"/>
    <w:rsid w:val="00BB4A75"/>
    <w:rsid w:val="00BB7255"/>
    <w:rsid w:val="00BB737C"/>
    <w:rsid w:val="00BB7F10"/>
    <w:rsid w:val="00BC04AE"/>
    <w:rsid w:val="00BC0561"/>
    <w:rsid w:val="00BC1E2E"/>
    <w:rsid w:val="00BC2B06"/>
    <w:rsid w:val="00BC5472"/>
    <w:rsid w:val="00BC5A9D"/>
    <w:rsid w:val="00BC68C2"/>
    <w:rsid w:val="00BC6CF1"/>
    <w:rsid w:val="00BC6E5A"/>
    <w:rsid w:val="00BC7B98"/>
    <w:rsid w:val="00BD000C"/>
    <w:rsid w:val="00BD08FF"/>
    <w:rsid w:val="00BD40C7"/>
    <w:rsid w:val="00BD5C8B"/>
    <w:rsid w:val="00BD6961"/>
    <w:rsid w:val="00BD6C03"/>
    <w:rsid w:val="00BE120D"/>
    <w:rsid w:val="00BE2DBD"/>
    <w:rsid w:val="00BE37C4"/>
    <w:rsid w:val="00BE4782"/>
    <w:rsid w:val="00BE4E43"/>
    <w:rsid w:val="00BE5747"/>
    <w:rsid w:val="00BE5893"/>
    <w:rsid w:val="00BF11D0"/>
    <w:rsid w:val="00BF13AE"/>
    <w:rsid w:val="00BF4A31"/>
    <w:rsid w:val="00BF6301"/>
    <w:rsid w:val="00BF67F1"/>
    <w:rsid w:val="00C0006D"/>
    <w:rsid w:val="00C003BB"/>
    <w:rsid w:val="00C0189A"/>
    <w:rsid w:val="00C038F9"/>
    <w:rsid w:val="00C0395A"/>
    <w:rsid w:val="00C0622B"/>
    <w:rsid w:val="00C12A95"/>
    <w:rsid w:val="00C12B8C"/>
    <w:rsid w:val="00C14B0D"/>
    <w:rsid w:val="00C239C3"/>
    <w:rsid w:val="00C24C1A"/>
    <w:rsid w:val="00C266A3"/>
    <w:rsid w:val="00C273AE"/>
    <w:rsid w:val="00C27917"/>
    <w:rsid w:val="00C345DE"/>
    <w:rsid w:val="00C3528F"/>
    <w:rsid w:val="00C379D9"/>
    <w:rsid w:val="00C42096"/>
    <w:rsid w:val="00C45A32"/>
    <w:rsid w:val="00C45D4F"/>
    <w:rsid w:val="00C504A9"/>
    <w:rsid w:val="00C61468"/>
    <w:rsid w:val="00C664A2"/>
    <w:rsid w:val="00C66FCE"/>
    <w:rsid w:val="00C673F4"/>
    <w:rsid w:val="00C71B4A"/>
    <w:rsid w:val="00C72C46"/>
    <w:rsid w:val="00C72DC2"/>
    <w:rsid w:val="00C72DC5"/>
    <w:rsid w:val="00C7324A"/>
    <w:rsid w:val="00C73FBD"/>
    <w:rsid w:val="00C7405F"/>
    <w:rsid w:val="00C75B82"/>
    <w:rsid w:val="00C75CA0"/>
    <w:rsid w:val="00C761F3"/>
    <w:rsid w:val="00C76F73"/>
    <w:rsid w:val="00C8005B"/>
    <w:rsid w:val="00C80AA7"/>
    <w:rsid w:val="00C82957"/>
    <w:rsid w:val="00C82A9A"/>
    <w:rsid w:val="00C83E91"/>
    <w:rsid w:val="00C90141"/>
    <w:rsid w:val="00C909CB"/>
    <w:rsid w:val="00C91911"/>
    <w:rsid w:val="00C92219"/>
    <w:rsid w:val="00C92B28"/>
    <w:rsid w:val="00C93F2A"/>
    <w:rsid w:val="00C95586"/>
    <w:rsid w:val="00CA1546"/>
    <w:rsid w:val="00CA23BD"/>
    <w:rsid w:val="00CA35FB"/>
    <w:rsid w:val="00CA3E4E"/>
    <w:rsid w:val="00CA4284"/>
    <w:rsid w:val="00CA42A5"/>
    <w:rsid w:val="00CA5E2B"/>
    <w:rsid w:val="00CA7291"/>
    <w:rsid w:val="00CA74D7"/>
    <w:rsid w:val="00CA77E5"/>
    <w:rsid w:val="00CA7C7B"/>
    <w:rsid w:val="00CB1BFC"/>
    <w:rsid w:val="00CB1F98"/>
    <w:rsid w:val="00CB3D82"/>
    <w:rsid w:val="00CB4519"/>
    <w:rsid w:val="00CB48BE"/>
    <w:rsid w:val="00CB4DDA"/>
    <w:rsid w:val="00CB50F5"/>
    <w:rsid w:val="00CB699D"/>
    <w:rsid w:val="00CB7840"/>
    <w:rsid w:val="00CC31A9"/>
    <w:rsid w:val="00CC3AB0"/>
    <w:rsid w:val="00CD014A"/>
    <w:rsid w:val="00CD51B2"/>
    <w:rsid w:val="00CD65CB"/>
    <w:rsid w:val="00CD7091"/>
    <w:rsid w:val="00CD7380"/>
    <w:rsid w:val="00CD73B3"/>
    <w:rsid w:val="00CE0ED2"/>
    <w:rsid w:val="00CE1195"/>
    <w:rsid w:val="00CE237D"/>
    <w:rsid w:val="00CE2589"/>
    <w:rsid w:val="00CE4062"/>
    <w:rsid w:val="00CE56FA"/>
    <w:rsid w:val="00CE5CBC"/>
    <w:rsid w:val="00CF0FBB"/>
    <w:rsid w:val="00CF3FE9"/>
    <w:rsid w:val="00CF50BB"/>
    <w:rsid w:val="00CF5617"/>
    <w:rsid w:val="00CF6842"/>
    <w:rsid w:val="00CF7679"/>
    <w:rsid w:val="00D0023C"/>
    <w:rsid w:val="00D00D81"/>
    <w:rsid w:val="00D0115C"/>
    <w:rsid w:val="00D03B81"/>
    <w:rsid w:val="00D040E3"/>
    <w:rsid w:val="00D047A5"/>
    <w:rsid w:val="00D06B31"/>
    <w:rsid w:val="00D06EFB"/>
    <w:rsid w:val="00D072D5"/>
    <w:rsid w:val="00D07D4F"/>
    <w:rsid w:val="00D12677"/>
    <w:rsid w:val="00D13B6E"/>
    <w:rsid w:val="00D15E68"/>
    <w:rsid w:val="00D17704"/>
    <w:rsid w:val="00D21080"/>
    <w:rsid w:val="00D23C59"/>
    <w:rsid w:val="00D24411"/>
    <w:rsid w:val="00D310F1"/>
    <w:rsid w:val="00D3200C"/>
    <w:rsid w:val="00D33E9B"/>
    <w:rsid w:val="00D367D0"/>
    <w:rsid w:val="00D37AFB"/>
    <w:rsid w:val="00D41827"/>
    <w:rsid w:val="00D42C93"/>
    <w:rsid w:val="00D436DD"/>
    <w:rsid w:val="00D43C07"/>
    <w:rsid w:val="00D5000C"/>
    <w:rsid w:val="00D50080"/>
    <w:rsid w:val="00D52246"/>
    <w:rsid w:val="00D52743"/>
    <w:rsid w:val="00D53CC1"/>
    <w:rsid w:val="00D54835"/>
    <w:rsid w:val="00D55758"/>
    <w:rsid w:val="00D5765C"/>
    <w:rsid w:val="00D577A3"/>
    <w:rsid w:val="00D60272"/>
    <w:rsid w:val="00D61A95"/>
    <w:rsid w:val="00D6349E"/>
    <w:rsid w:val="00D6379A"/>
    <w:rsid w:val="00D64002"/>
    <w:rsid w:val="00D65EB2"/>
    <w:rsid w:val="00D66067"/>
    <w:rsid w:val="00D6677D"/>
    <w:rsid w:val="00D66E10"/>
    <w:rsid w:val="00D70889"/>
    <w:rsid w:val="00D72271"/>
    <w:rsid w:val="00D735FD"/>
    <w:rsid w:val="00D74324"/>
    <w:rsid w:val="00D750A0"/>
    <w:rsid w:val="00D76DE7"/>
    <w:rsid w:val="00D804DD"/>
    <w:rsid w:val="00D80FF2"/>
    <w:rsid w:val="00D8258F"/>
    <w:rsid w:val="00D82A01"/>
    <w:rsid w:val="00D91445"/>
    <w:rsid w:val="00D923C4"/>
    <w:rsid w:val="00D9401D"/>
    <w:rsid w:val="00D96444"/>
    <w:rsid w:val="00D97239"/>
    <w:rsid w:val="00DA0100"/>
    <w:rsid w:val="00DA034A"/>
    <w:rsid w:val="00DA0F3E"/>
    <w:rsid w:val="00DA2875"/>
    <w:rsid w:val="00DA384A"/>
    <w:rsid w:val="00DA3B21"/>
    <w:rsid w:val="00DA6A41"/>
    <w:rsid w:val="00DB1501"/>
    <w:rsid w:val="00DB1B4E"/>
    <w:rsid w:val="00DB41C6"/>
    <w:rsid w:val="00DB5F87"/>
    <w:rsid w:val="00DC0A80"/>
    <w:rsid w:val="00DC3518"/>
    <w:rsid w:val="00DC4236"/>
    <w:rsid w:val="00DC613B"/>
    <w:rsid w:val="00DC6B0B"/>
    <w:rsid w:val="00DC7290"/>
    <w:rsid w:val="00DD0AD9"/>
    <w:rsid w:val="00DD1693"/>
    <w:rsid w:val="00DD1A69"/>
    <w:rsid w:val="00DD3157"/>
    <w:rsid w:val="00DD3752"/>
    <w:rsid w:val="00DD3F76"/>
    <w:rsid w:val="00DD44C5"/>
    <w:rsid w:val="00DD6884"/>
    <w:rsid w:val="00DD7857"/>
    <w:rsid w:val="00DD7CFD"/>
    <w:rsid w:val="00DE0443"/>
    <w:rsid w:val="00DE33D2"/>
    <w:rsid w:val="00DE3C93"/>
    <w:rsid w:val="00DE7D71"/>
    <w:rsid w:val="00DF1BF1"/>
    <w:rsid w:val="00DF5FD5"/>
    <w:rsid w:val="00DF6EAD"/>
    <w:rsid w:val="00DF723B"/>
    <w:rsid w:val="00E01292"/>
    <w:rsid w:val="00E01B2B"/>
    <w:rsid w:val="00E0215E"/>
    <w:rsid w:val="00E027DC"/>
    <w:rsid w:val="00E03602"/>
    <w:rsid w:val="00E06245"/>
    <w:rsid w:val="00E06FAE"/>
    <w:rsid w:val="00E0739E"/>
    <w:rsid w:val="00E113AB"/>
    <w:rsid w:val="00E12E23"/>
    <w:rsid w:val="00E13B5B"/>
    <w:rsid w:val="00E145D8"/>
    <w:rsid w:val="00E14A90"/>
    <w:rsid w:val="00E1674D"/>
    <w:rsid w:val="00E2164B"/>
    <w:rsid w:val="00E227C4"/>
    <w:rsid w:val="00E229AF"/>
    <w:rsid w:val="00E27D74"/>
    <w:rsid w:val="00E27F5F"/>
    <w:rsid w:val="00E320FB"/>
    <w:rsid w:val="00E346D2"/>
    <w:rsid w:val="00E3745B"/>
    <w:rsid w:val="00E37535"/>
    <w:rsid w:val="00E41AAF"/>
    <w:rsid w:val="00E42C88"/>
    <w:rsid w:val="00E42D8E"/>
    <w:rsid w:val="00E45E28"/>
    <w:rsid w:val="00E4616E"/>
    <w:rsid w:val="00E47A90"/>
    <w:rsid w:val="00E5032D"/>
    <w:rsid w:val="00E542C0"/>
    <w:rsid w:val="00E60F11"/>
    <w:rsid w:val="00E625A0"/>
    <w:rsid w:val="00E6679D"/>
    <w:rsid w:val="00E6730A"/>
    <w:rsid w:val="00E67FAB"/>
    <w:rsid w:val="00E7023F"/>
    <w:rsid w:val="00E73AFD"/>
    <w:rsid w:val="00E74441"/>
    <w:rsid w:val="00E74ADF"/>
    <w:rsid w:val="00E8078A"/>
    <w:rsid w:val="00E81A1F"/>
    <w:rsid w:val="00E85479"/>
    <w:rsid w:val="00E861EE"/>
    <w:rsid w:val="00E862CC"/>
    <w:rsid w:val="00E90D74"/>
    <w:rsid w:val="00E9210C"/>
    <w:rsid w:val="00E92AA8"/>
    <w:rsid w:val="00E93F5D"/>
    <w:rsid w:val="00E953DF"/>
    <w:rsid w:val="00E97092"/>
    <w:rsid w:val="00E971E9"/>
    <w:rsid w:val="00EA10A5"/>
    <w:rsid w:val="00EA27F9"/>
    <w:rsid w:val="00EA2D24"/>
    <w:rsid w:val="00EA3FD9"/>
    <w:rsid w:val="00EA44FC"/>
    <w:rsid w:val="00EB0734"/>
    <w:rsid w:val="00EB1FA5"/>
    <w:rsid w:val="00EB43C0"/>
    <w:rsid w:val="00EB4D35"/>
    <w:rsid w:val="00EB630E"/>
    <w:rsid w:val="00EB769E"/>
    <w:rsid w:val="00EB7E17"/>
    <w:rsid w:val="00EC1F8E"/>
    <w:rsid w:val="00EC2D60"/>
    <w:rsid w:val="00EC51E7"/>
    <w:rsid w:val="00EC61B5"/>
    <w:rsid w:val="00EC646E"/>
    <w:rsid w:val="00ED05A7"/>
    <w:rsid w:val="00ED0B6D"/>
    <w:rsid w:val="00ED0EF0"/>
    <w:rsid w:val="00ED2DEF"/>
    <w:rsid w:val="00ED2EA6"/>
    <w:rsid w:val="00ED32A9"/>
    <w:rsid w:val="00ED3575"/>
    <w:rsid w:val="00ED5445"/>
    <w:rsid w:val="00ED7473"/>
    <w:rsid w:val="00EE0F94"/>
    <w:rsid w:val="00EE2656"/>
    <w:rsid w:val="00EE2C5D"/>
    <w:rsid w:val="00EE3206"/>
    <w:rsid w:val="00EE59E6"/>
    <w:rsid w:val="00EE6B71"/>
    <w:rsid w:val="00EE75BC"/>
    <w:rsid w:val="00EE7726"/>
    <w:rsid w:val="00EF0713"/>
    <w:rsid w:val="00EF2EA7"/>
    <w:rsid w:val="00EF3F7D"/>
    <w:rsid w:val="00EF4A31"/>
    <w:rsid w:val="00F00B9E"/>
    <w:rsid w:val="00F00DA9"/>
    <w:rsid w:val="00F030A5"/>
    <w:rsid w:val="00F045F3"/>
    <w:rsid w:val="00F056EB"/>
    <w:rsid w:val="00F1159C"/>
    <w:rsid w:val="00F138D3"/>
    <w:rsid w:val="00F149A6"/>
    <w:rsid w:val="00F14DAA"/>
    <w:rsid w:val="00F14ED9"/>
    <w:rsid w:val="00F17185"/>
    <w:rsid w:val="00F17343"/>
    <w:rsid w:val="00F17412"/>
    <w:rsid w:val="00F20848"/>
    <w:rsid w:val="00F20B35"/>
    <w:rsid w:val="00F20B76"/>
    <w:rsid w:val="00F22D7C"/>
    <w:rsid w:val="00F25232"/>
    <w:rsid w:val="00F31963"/>
    <w:rsid w:val="00F31E26"/>
    <w:rsid w:val="00F31E50"/>
    <w:rsid w:val="00F33836"/>
    <w:rsid w:val="00F345E6"/>
    <w:rsid w:val="00F352B1"/>
    <w:rsid w:val="00F35839"/>
    <w:rsid w:val="00F40424"/>
    <w:rsid w:val="00F41240"/>
    <w:rsid w:val="00F42250"/>
    <w:rsid w:val="00F426CD"/>
    <w:rsid w:val="00F42B8B"/>
    <w:rsid w:val="00F432B8"/>
    <w:rsid w:val="00F44D06"/>
    <w:rsid w:val="00F44F25"/>
    <w:rsid w:val="00F46A74"/>
    <w:rsid w:val="00F46DD4"/>
    <w:rsid w:val="00F46DEA"/>
    <w:rsid w:val="00F5174D"/>
    <w:rsid w:val="00F5176B"/>
    <w:rsid w:val="00F517D5"/>
    <w:rsid w:val="00F51F37"/>
    <w:rsid w:val="00F5281F"/>
    <w:rsid w:val="00F6093A"/>
    <w:rsid w:val="00F61C1F"/>
    <w:rsid w:val="00F622A4"/>
    <w:rsid w:val="00F62670"/>
    <w:rsid w:val="00F62FC9"/>
    <w:rsid w:val="00F63F5B"/>
    <w:rsid w:val="00F67FA8"/>
    <w:rsid w:val="00F70D9B"/>
    <w:rsid w:val="00F74D33"/>
    <w:rsid w:val="00F7675F"/>
    <w:rsid w:val="00F768D3"/>
    <w:rsid w:val="00F76F1A"/>
    <w:rsid w:val="00F8353E"/>
    <w:rsid w:val="00F85328"/>
    <w:rsid w:val="00F8554A"/>
    <w:rsid w:val="00F86237"/>
    <w:rsid w:val="00F879E2"/>
    <w:rsid w:val="00F87D02"/>
    <w:rsid w:val="00F9085B"/>
    <w:rsid w:val="00F90CBD"/>
    <w:rsid w:val="00F90F47"/>
    <w:rsid w:val="00F927EB"/>
    <w:rsid w:val="00F948DA"/>
    <w:rsid w:val="00F94980"/>
    <w:rsid w:val="00F954D3"/>
    <w:rsid w:val="00FA24B5"/>
    <w:rsid w:val="00FA4819"/>
    <w:rsid w:val="00FA5B32"/>
    <w:rsid w:val="00FA6AB8"/>
    <w:rsid w:val="00FA7D23"/>
    <w:rsid w:val="00FB3202"/>
    <w:rsid w:val="00FB4D9B"/>
    <w:rsid w:val="00FB57F6"/>
    <w:rsid w:val="00FC05D3"/>
    <w:rsid w:val="00FC0C91"/>
    <w:rsid w:val="00FC2A29"/>
    <w:rsid w:val="00FC3DD0"/>
    <w:rsid w:val="00FC3FF0"/>
    <w:rsid w:val="00FC5028"/>
    <w:rsid w:val="00FC5320"/>
    <w:rsid w:val="00FD12EF"/>
    <w:rsid w:val="00FD1318"/>
    <w:rsid w:val="00FD1CA6"/>
    <w:rsid w:val="00FD5788"/>
    <w:rsid w:val="00FD7173"/>
    <w:rsid w:val="00FE083C"/>
    <w:rsid w:val="00FE13F9"/>
    <w:rsid w:val="00FE248F"/>
    <w:rsid w:val="00FE4C73"/>
    <w:rsid w:val="00FE52D5"/>
    <w:rsid w:val="00FE55BB"/>
    <w:rsid w:val="00FE5F1B"/>
    <w:rsid w:val="00FE7798"/>
    <w:rsid w:val="00FE7CD6"/>
    <w:rsid w:val="00FF22E8"/>
    <w:rsid w:val="00FF24D6"/>
    <w:rsid w:val="00FF2AAA"/>
    <w:rsid w:val="00FF2C1D"/>
    <w:rsid w:val="00FF40D4"/>
    <w:rsid w:val="00FF511A"/>
    <w:rsid w:val="00FF7FCD"/>
    <w:rsid w:val="025665CF"/>
    <w:rsid w:val="03294B27"/>
    <w:rsid w:val="03A66A4C"/>
    <w:rsid w:val="086B1665"/>
    <w:rsid w:val="08D4058E"/>
    <w:rsid w:val="0B1A71BB"/>
    <w:rsid w:val="0B5F0734"/>
    <w:rsid w:val="0B8A2CED"/>
    <w:rsid w:val="0E127872"/>
    <w:rsid w:val="0F531BCF"/>
    <w:rsid w:val="0F5E6A7C"/>
    <w:rsid w:val="0F642818"/>
    <w:rsid w:val="10685AD6"/>
    <w:rsid w:val="11C07D28"/>
    <w:rsid w:val="13F2347F"/>
    <w:rsid w:val="143041C6"/>
    <w:rsid w:val="154422E0"/>
    <w:rsid w:val="168C7644"/>
    <w:rsid w:val="16FD4B32"/>
    <w:rsid w:val="19755945"/>
    <w:rsid w:val="1A501304"/>
    <w:rsid w:val="1A7D76D7"/>
    <w:rsid w:val="1D72559F"/>
    <w:rsid w:val="200B6665"/>
    <w:rsid w:val="201432BF"/>
    <w:rsid w:val="23E93650"/>
    <w:rsid w:val="25247532"/>
    <w:rsid w:val="285E6893"/>
    <w:rsid w:val="29FC48DF"/>
    <w:rsid w:val="2A083B40"/>
    <w:rsid w:val="2AA57AD2"/>
    <w:rsid w:val="2D9A49CD"/>
    <w:rsid w:val="2E5D4AF6"/>
    <w:rsid w:val="2FFC77DA"/>
    <w:rsid w:val="31DB12D0"/>
    <w:rsid w:val="335C5B9F"/>
    <w:rsid w:val="33AC3D31"/>
    <w:rsid w:val="368760E4"/>
    <w:rsid w:val="36BC518A"/>
    <w:rsid w:val="36D76C96"/>
    <w:rsid w:val="36F636F1"/>
    <w:rsid w:val="371D436A"/>
    <w:rsid w:val="371F0D98"/>
    <w:rsid w:val="382B76A4"/>
    <w:rsid w:val="3895535F"/>
    <w:rsid w:val="39D92EE3"/>
    <w:rsid w:val="3A8B3AC4"/>
    <w:rsid w:val="3B615469"/>
    <w:rsid w:val="3D8C4EAC"/>
    <w:rsid w:val="3E116215"/>
    <w:rsid w:val="3F232027"/>
    <w:rsid w:val="3F3D437C"/>
    <w:rsid w:val="401F004C"/>
    <w:rsid w:val="41CD3A0A"/>
    <w:rsid w:val="41EF51D1"/>
    <w:rsid w:val="43483EF7"/>
    <w:rsid w:val="44CE4144"/>
    <w:rsid w:val="464C5D3D"/>
    <w:rsid w:val="477B3109"/>
    <w:rsid w:val="48C52C26"/>
    <w:rsid w:val="48D05947"/>
    <w:rsid w:val="49A71F35"/>
    <w:rsid w:val="49E003BF"/>
    <w:rsid w:val="4A8B0C0A"/>
    <w:rsid w:val="50B954D3"/>
    <w:rsid w:val="510E1498"/>
    <w:rsid w:val="51494D2E"/>
    <w:rsid w:val="51D11F82"/>
    <w:rsid w:val="547C6023"/>
    <w:rsid w:val="54AA5304"/>
    <w:rsid w:val="55F5256A"/>
    <w:rsid w:val="56622AD0"/>
    <w:rsid w:val="57F05ACE"/>
    <w:rsid w:val="586C041B"/>
    <w:rsid w:val="599F23F6"/>
    <w:rsid w:val="5A7A57CA"/>
    <w:rsid w:val="5B351359"/>
    <w:rsid w:val="5D015DDE"/>
    <w:rsid w:val="5E3A4CD0"/>
    <w:rsid w:val="64BD6C81"/>
    <w:rsid w:val="66DB1352"/>
    <w:rsid w:val="691804D2"/>
    <w:rsid w:val="69670B4F"/>
    <w:rsid w:val="69D74141"/>
    <w:rsid w:val="6A5956F5"/>
    <w:rsid w:val="6A812674"/>
    <w:rsid w:val="6E180BFB"/>
    <w:rsid w:val="71A05F42"/>
    <w:rsid w:val="744F3D84"/>
    <w:rsid w:val="79101943"/>
    <w:rsid w:val="7A616AB3"/>
    <w:rsid w:val="7CD36577"/>
    <w:rsid w:val="7D2A6C6E"/>
    <w:rsid w:val="7D996708"/>
    <w:rsid w:val="7DFD4775"/>
    <w:rsid w:val="A1BF7A7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78" w:lineRule="exact"/>
      <w:ind w:firstLine="200" w:firstLineChars="200"/>
      <w:jc w:val="both"/>
    </w:pPr>
    <w:rPr>
      <w:rFonts w:ascii="仿宋_GB2312" w:hAnsi="仿宋_GB2312" w:eastAsia="仿宋_GB2312" w:cstheme="minorBidi"/>
      <w:kern w:val="2"/>
      <w:sz w:val="32"/>
      <w:szCs w:val="22"/>
      <w:lang w:val="en-US" w:eastAsia="zh-CN" w:bidi="ar-SA"/>
    </w:rPr>
  </w:style>
  <w:style w:type="paragraph" w:styleId="3">
    <w:name w:val="heading 1"/>
    <w:basedOn w:val="1"/>
    <w:next w:val="1"/>
    <w:link w:val="21"/>
    <w:qFormat/>
    <w:uiPriority w:val="9"/>
    <w:pPr>
      <w:keepNext/>
      <w:keepLines/>
      <w:outlineLvl w:val="0"/>
    </w:pPr>
    <w:rPr>
      <w:rFonts w:eastAsia="黑体"/>
      <w:bCs/>
      <w:kern w:val="44"/>
      <w:szCs w:val="44"/>
    </w:rPr>
  </w:style>
  <w:style w:type="paragraph" w:styleId="4">
    <w:name w:val="heading 2"/>
    <w:basedOn w:val="1"/>
    <w:next w:val="1"/>
    <w:link w:val="38"/>
    <w:unhideWhenUsed/>
    <w:qFormat/>
    <w:uiPriority w:val="9"/>
    <w:pPr>
      <w:keepNext/>
      <w:keepLines/>
      <w:outlineLvl w:val="1"/>
    </w:pPr>
    <w:rPr>
      <w:rFonts w:eastAsia="楷体_GB2312" w:asciiTheme="majorHAnsi" w:hAnsiTheme="majorHAnsi" w:cstheme="majorBidi"/>
      <w:bCs/>
      <w:szCs w:val="32"/>
    </w:rPr>
  </w:style>
  <w:style w:type="paragraph" w:styleId="5">
    <w:name w:val="heading 3"/>
    <w:basedOn w:val="1"/>
    <w:next w:val="1"/>
    <w:unhideWhenUsed/>
    <w:qFormat/>
    <w:uiPriority w:val="9"/>
    <w:pPr>
      <w:keepNext/>
      <w:keepLines/>
      <w:spacing w:line="560" w:lineRule="exact"/>
      <w:outlineLvl w:val="2"/>
    </w:p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widowControl/>
      <w:spacing w:line="360" w:lineRule="auto"/>
      <w:ind w:firstLine="420"/>
      <w:jc w:val="left"/>
    </w:pPr>
    <w:rPr>
      <w:rFonts w:ascii="Microsoft YaHei UI" w:hAnsi="Microsoft YaHei UI" w:cs="Times New Roman"/>
      <w:color w:val="657C9C"/>
      <w:kern w:val="0"/>
      <w:sz w:val="28"/>
      <w:szCs w:val="24"/>
    </w:rPr>
  </w:style>
  <w:style w:type="paragraph" w:styleId="6">
    <w:name w:val="Document Map"/>
    <w:basedOn w:val="1"/>
    <w:link w:val="39"/>
    <w:semiHidden/>
    <w:unhideWhenUsed/>
    <w:qFormat/>
    <w:uiPriority w:val="99"/>
    <w:rPr>
      <w:rFonts w:ascii="宋体" w:eastAsia="宋体"/>
      <w:sz w:val="18"/>
      <w:szCs w:val="18"/>
    </w:rPr>
  </w:style>
  <w:style w:type="paragraph" w:styleId="7">
    <w:name w:val="annotation text"/>
    <w:basedOn w:val="1"/>
    <w:link w:val="45"/>
    <w:semiHidden/>
    <w:unhideWhenUsed/>
    <w:qFormat/>
    <w:uiPriority w:val="99"/>
    <w:pPr>
      <w:jc w:val="left"/>
    </w:pPr>
  </w:style>
  <w:style w:type="paragraph" w:styleId="8">
    <w:name w:val="Date"/>
    <w:basedOn w:val="1"/>
    <w:next w:val="1"/>
    <w:link w:val="40"/>
    <w:semiHidden/>
    <w:unhideWhenUsed/>
    <w:qFormat/>
    <w:uiPriority w:val="99"/>
    <w:pPr>
      <w:ind w:left="100" w:leftChars="2500"/>
    </w:pPr>
  </w:style>
  <w:style w:type="paragraph" w:styleId="9">
    <w:name w:val="Balloon Text"/>
    <w:basedOn w:val="1"/>
    <w:link w:val="36"/>
    <w:semiHidden/>
    <w:unhideWhenUsed/>
    <w:qFormat/>
    <w:uiPriority w:val="99"/>
    <w:rPr>
      <w:sz w:val="18"/>
      <w:szCs w:val="18"/>
    </w:rPr>
  </w:style>
  <w:style w:type="paragraph" w:styleId="10">
    <w:name w:val="footer"/>
    <w:basedOn w:val="1"/>
    <w:link w:val="23"/>
    <w:unhideWhenUsed/>
    <w:qFormat/>
    <w:uiPriority w:val="99"/>
    <w:pPr>
      <w:tabs>
        <w:tab w:val="center" w:pos="4153"/>
        <w:tab w:val="right" w:pos="8306"/>
      </w:tabs>
      <w:snapToGrid w:val="0"/>
      <w:jc w:val="left"/>
    </w:pPr>
    <w:rPr>
      <w:sz w:val="18"/>
      <w:szCs w:val="18"/>
    </w:rPr>
  </w:style>
  <w:style w:type="paragraph" w:styleId="11">
    <w:name w:val="header"/>
    <w:basedOn w:val="1"/>
    <w:link w:val="22"/>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unhideWhenUsed/>
    <w:qFormat/>
    <w:uiPriority w:val="39"/>
  </w:style>
  <w:style w:type="paragraph" w:styleId="13">
    <w:name w:val="toc 2"/>
    <w:basedOn w:val="1"/>
    <w:next w:val="1"/>
    <w:unhideWhenUsed/>
    <w:qFormat/>
    <w:uiPriority w:val="39"/>
    <w:pPr>
      <w:ind w:left="420" w:leftChars="200"/>
    </w:pPr>
  </w:style>
  <w:style w:type="paragraph" w:styleId="14">
    <w:name w:val="Normal (Web)"/>
    <w:basedOn w:val="1"/>
    <w:qFormat/>
    <w:uiPriority w:val="99"/>
    <w:pPr>
      <w:spacing w:before="100" w:beforeAutospacing="1" w:after="100" w:afterAutospacing="1"/>
      <w:jc w:val="left"/>
    </w:pPr>
    <w:rPr>
      <w:rFonts w:cs="Times New Roman"/>
      <w:kern w:val="0"/>
      <w:sz w:val="24"/>
      <w:szCs w:val="24"/>
    </w:rPr>
  </w:style>
  <w:style w:type="paragraph" w:styleId="15">
    <w:name w:val="annotation subject"/>
    <w:basedOn w:val="7"/>
    <w:next w:val="7"/>
    <w:link w:val="46"/>
    <w:semiHidden/>
    <w:unhideWhenUsed/>
    <w:qFormat/>
    <w:uiPriority w:val="99"/>
    <w:rPr>
      <w:b/>
      <w:bCs/>
    </w:rPr>
  </w:style>
  <w:style w:type="table" w:styleId="17">
    <w:name w:val="Table Grid"/>
    <w:basedOn w:val="16"/>
    <w:unhideWhenUsed/>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9">
    <w:name w:val="Hyperlink"/>
    <w:basedOn w:val="18"/>
    <w:unhideWhenUsed/>
    <w:qFormat/>
    <w:uiPriority w:val="99"/>
    <w:rPr>
      <w:color w:val="0000FF" w:themeColor="hyperlink"/>
      <w:u w:val="single"/>
      <w14:textFill>
        <w14:solidFill>
          <w14:schemeClr w14:val="hlink"/>
        </w14:solidFill>
      </w14:textFill>
    </w:rPr>
  </w:style>
  <w:style w:type="character" w:styleId="20">
    <w:name w:val="annotation reference"/>
    <w:basedOn w:val="18"/>
    <w:semiHidden/>
    <w:unhideWhenUsed/>
    <w:qFormat/>
    <w:uiPriority w:val="99"/>
    <w:rPr>
      <w:sz w:val="21"/>
      <w:szCs w:val="21"/>
    </w:rPr>
  </w:style>
  <w:style w:type="character" w:customStyle="1" w:styleId="21">
    <w:name w:val="标题 1 Char"/>
    <w:basedOn w:val="18"/>
    <w:link w:val="3"/>
    <w:qFormat/>
    <w:uiPriority w:val="9"/>
    <w:rPr>
      <w:rFonts w:eastAsia="黑体" w:asciiTheme="minorHAnsi" w:hAnsiTheme="minorHAnsi" w:cstheme="minorBidi"/>
      <w:bCs/>
      <w:kern w:val="44"/>
      <w:sz w:val="32"/>
      <w:szCs w:val="44"/>
    </w:rPr>
  </w:style>
  <w:style w:type="character" w:customStyle="1" w:styleId="22">
    <w:name w:val="页眉 Char"/>
    <w:basedOn w:val="18"/>
    <w:link w:val="11"/>
    <w:qFormat/>
    <w:uiPriority w:val="99"/>
    <w:rPr>
      <w:sz w:val="18"/>
      <w:szCs w:val="18"/>
    </w:rPr>
  </w:style>
  <w:style w:type="character" w:customStyle="1" w:styleId="23">
    <w:name w:val="页脚 Char"/>
    <w:basedOn w:val="18"/>
    <w:link w:val="10"/>
    <w:qFormat/>
    <w:uiPriority w:val="99"/>
    <w:rPr>
      <w:sz w:val="18"/>
      <w:szCs w:val="18"/>
    </w:rPr>
  </w:style>
  <w:style w:type="paragraph" w:styleId="24">
    <w:name w:val="List Paragraph"/>
    <w:basedOn w:val="1"/>
    <w:qFormat/>
    <w:uiPriority w:val="34"/>
    <w:pPr>
      <w:ind w:firstLine="420"/>
    </w:pPr>
  </w:style>
  <w:style w:type="paragraph" w:customStyle="1" w:styleId="25">
    <w:name w:val="段"/>
    <w:link w:val="26"/>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26">
    <w:name w:val="段 Char"/>
    <w:basedOn w:val="18"/>
    <w:link w:val="25"/>
    <w:qFormat/>
    <w:uiPriority w:val="0"/>
    <w:rPr>
      <w:rFonts w:ascii="宋体" w:hAnsi="Times New Roman" w:eastAsia="宋体" w:cs="Times New Roman"/>
      <w:kern w:val="0"/>
      <w:szCs w:val="20"/>
    </w:rPr>
  </w:style>
  <w:style w:type="paragraph" w:customStyle="1" w:styleId="27">
    <w:name w:val="一级条标题"/>
    <w:next w:val="25"/>
    <w:qFormat/>
    <w:uiPriority w:val="0"/>
    <w:pPr>
      <w:numPr>
        <w:ilvl w:val="1"/>
        <w:numId w:val="1"/>
      </w:numPr>
      <w:spacing w:beforeLines="50" w:afterLines="50"/>
      <w:ind w:left="0"/>
      <w:outlineLvl w:val="2"/>
    </w:pPr>
    <w:rPr>
      <w:rFonts w:ascii="黑体" w:hAnsi="Times New Roman" w:eastAsia="黑体" w:cs="Times New Roman"/>
      <w:sz w:val="21"/>
      <w:szCs w:val="21"/>
      <w:lang w:val="en-US" w:eastAsia="zh-CN" w:bidi="ar-SA"/>
    </w:rPr>
  </w:style>
  <w:style w:type="paragraph" w:customStyle="1" w:styleId="28">
    <w:name w:val="章标题"/>
    <w:next w:val="25"/>
    <w:qFormat/>
    <w:uiPriority w:val="0"/>
    <w:pPr>
      <w:numPr>
        <w:ilvl w:val="0"/>
        <w:numId w:val="1"/>
      </w:numPr>
      <w:spacing w:beforeLines="100" w:afterLines="100"/>
      <w:jc w:val="both"/>
      <w:outlineLvl w:val="1"/>
    </w:pPr>
    <w:rPr>
      <w:rFonts w:ascii="黑体" w:hAnsi="Times New Roman" w:eastAsia="黑体" w:cs="Times New Roman"/>
      <w:sz w:val="21"/>
      <w:lang w:val="en-US" w:eastAsia="zh-CN" w:bidi="ar-SA"/>
    </w:rPr>
  </w:style>
  <w:style w:type="paragraph" w:customStyle="1" w:styleId="29">
    <w:name w:val="二级条标题"/>
    <w:basedOn w:val="27"/>
    <w:next w:val="25"/>
    <w:qFormat/>
    <w:uiPriority w:val="0"/>
    <w:pPr>
      <w:numPr>
        <w:ilvl w:val="2"/>
      </w:numPr>
      <w:spacing w:before="50" w:after="50"/>
      <w:outlineLvl w:val="3"/>
    </w:pPr>
  </w:style>
  <w:style w:type="paragraph" w:customStyle="1" w:styleId="30">
    <w:name w:val="三级条标题"/>
    <w:basedOn w:val="29"/>
    <w:next w:val="25"/>
    <w:qFormat/>
    <w:uiPriority w:val="0"/>
    <w:pPr>
      <w:numPr>
        <w:ilvl w:val="3"/>
      </w:numPr>
      <w:outlineLvl w:val="4"/>
    </w:pPr>
  </w:style>
  <w:style w:type="paragraph" w:customStyle="1" w:styleId="31">
    <w:name w:val="数字编号列项（二级）"/>
    <w:qFormat/>
    <w:uiPriority w:val="0"/>
    <w:pPr>
      <w:numPr>
        <w:ilvl w:val="1"/>
        <w:numId w:val="2"/>
      </w:numPr>
      <w:jc w:val="both"/>
    </w:pPr>
    <w:rPr>
      <w:rFonts w:ascii="宋体" w:hAnsi="Times New Roman" w:eastAsia="宋体" w:cs="Times New Roman"/>
      <w:sz w:val="21"/>
      <w:lang w:val="en-US" w:eastAsia="zh-CN" w:bidi="ar-SA"/>
    </w:rPr>
  </w:style>
  <w:style w:type="paragraph" w:customStyle="1" w:styleId="32">
    <w:name w:val="四级条标题"/>
    <w:basedOn w:val="30"/>
    <w:next w:val="25"/>
    <w:qFormat/>
    <w:uiPriority w:val="0"/>
    <w:pPr>
      <w:numPr>
        <w:ilvl w:val="4"/>
      </w:numPr>
      <w:outlineLvl w:val="5"/>
    </w:pPr>
  </w:style>
  <w:style w:type="paragraph" w:customStyle="1" w:styleId="33">
    <w:name w:val="五级条标题"/>
    <w:basedOn w:val="32"/>
    <w:next w:val="25"/>
    <w:qFormat/>
    <w:uiPriority w:val="0"/>
    <w:pPr>
      <w:numPr>
        <w:ilvl w:val="5"/>
      </w:numPr>
      <w:outlineLvl w:val="6"/>
    </w:pPr>
  </w:style>
  <w:style w:type="paragraph" w:customStyle="1" w:styleId="34">
    <w:name w:val="字母编号列项（一级）"/>
    <w:qFormat/>
    <w:uiPriority w:val="0"/>
    <w:pPr>
      <w:numPr>
        <w:ilvl w:val="0"/>
        <w:numId w:val="2"/>
      </w:numPr>
      <w:jc w:val="both"/>
    </w:pPr>
    <w:rPr>
      <w:rFonts w:ascii="宋体" w:hAnsi="Times New Roman" w:eastAsia="宋体" w:cs="Times New Roman"/>
      <w:sz w:val="21"/>
      <w:lang w:val="en-US" w:eastAsia="zh-CN" w:bidi="ar-SA"/>
    </w:rPr>
  </w:style>
  <w:style w:type="paragraph" w:customStyle="1" w:styleId="35">
    <w:name w:val="编号列项（三级）"/>
    <w:qFormat/>
    <w:uiPriority w:val="0"/>
    <w:pPr>
      <w:numPr>
        <w:ilvl w:val="2"/>
        <w:numId w:val="2"/>
      </w:numPr>
    </w:pPr>
    <w:rPr>
      <w:rFonts w:ascii="宋体" w:hAnsi="Times New Roman" w:eastAsia="宋体" w:cs="Times New Roman"/>
      <w:sz w:val="21"/>
      <w:lang w:val="en-US" w:eastAsia="zh-CN" w:bidi="ar-SA"/>
    </w:rPr>
  </w:style>
  <w:style w:type="character" w:customStyle="1" w:styleId="36">
    <w:name w:val="批注框文本 Char"/>
    <w:basedOn w:val="18"/>
    <w:link w:val="9"/>
    <w:semiHidden/>
    <w:qFormat/>
    <w:uiPriority w:val="99"/>
    <w:rPr>
      <w:sz w:val="18"/>
      <w:szCs w:val="18"/>
    </w:rPr>
  </w:style>
  <w:style w:type="paragraph" w:customStyle="1" w:styleId="37">
    <w:name w:val="TOC 标题1"/>
    <w:basedOn w:val="3"/>
    <w:next w:val="1"/>
    <w:unhideWhenUsed/>
    <w:qFormat/>
    <w:uiPriority w:val="39"/>
    <w:pPr>
      <w:widowControl/>
      <w:spacing w:before="48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8">
    <w:name w:val="标题 2 Char"/>
    <w:basedOn w:val="18"/>
    <w:link w:val="4"/>
    <w:qFormat/>
    <w:uiPriority w:val="9"/>
    <w:rPr>
      <w:rFonts w:eastAsia="楷体_GB2312" w:asciiTheme="majorHAnsi" w:hAnsiTheme="majorHAnsi" w:cstheme="majorBidi"/>
      <w:bCs/>
      <w:sz w:val="32"/>
      <w:szCs w:val="32"/>
    </w:rPr>
  </w:style>
  <w:style w:type="character" w:customStyle="1" w:styleId="39">
    <w:name w:val="文档结构图 Char"/>
    <w:basedOn w:val="18"/>
    <w:link w:val="6"/>
    <w:semiHidden/>
    <w:qFormat/>
    <w:uiPriority w:val="99"/>
    <w:rPr>
      <w:rFonts w:ascii="宋体" w:eastAsia="宋体"/>
      <w:sz w:val="18"/>
      <w:szCs w:val="18"/>
    </w:rPr>
  </w:style>
  <w:style w:type="character" w:customStyle="1" w:styleId="40">
    <w:name w:val="日期 Char"/>
    <w:basedOn w:val="18"/>
    <w:link w:val="8"/>
    <w:semiHidden/>
    <w:qFormat/>
    <w:uiPriority w:val="99"/>
  </w:style>
  <w:style w:type="paragraph" w:customStyle="1" w:styleId="41">
    <w:name w:val="标准文件_段"/>
    <w:link w:val="42"/>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42">
    <w:name w:val="标准文件_段 Char"/>
    <w:link w:val="41"/>
    <w:qFormat/>
    <w:uiPriority w:val="0"/>
    <w:rPr>
      <w:rFonts w:ascii="宋体" w:hAnsi="Times New Roman" w:eastAsia="宋体" w:cs="Times New Roman"/>
      <w:kern w:val="0"/>
      <w:szCs w:val="20"/>
    </w:rPr>
  </w:style>
  <w:style w:type="paragraph" w:customStyle="1" w:styleId="43">
    <w:name w:val="2级标题"/>
    <w:basedOn w:val="27"/>
    <w:qFormat/>
    <w:uiPriority w:val="0"/>
    <w:pPr>
      <w:numPr>
        <w:ilvl w:val="0"/>
        <w:numId w:val="0"/>
      </w:numPr>
      <w:spacing w:before="156" w:after="156"/>
    </w:pPr>
    <w:rPr>
      <w:rFonts w:eastAsia="宋体" w:cs="宋体"/>
      <w:szCs w:val="20"/>
    </w:rPr>
  </w:style>
  <w:style w:type="paragraph" w:customStyle="1" w:styleId="44">
    <w:name w:val="1级标题"/>
    <w:next w:val="25"/>
    <w:qFormat/>
    <w:uiPriority w:val="1"/>
    <w:pPr>
      <w:numPr>
        <w:ilvl w:val="0"/>
        <w:numId w:val="3"/>
      </w:numPr>
      <w:spacing w:beforeLines="100" w:afterLines="100"/>
      <w:outlineLvl w:val="1"/>
    </w:pPr>
    <w:rPr>
      <w:rFonts w:ascii="黑体" w:hAnsi="Times New Roman" w:eastAsia="黑体" w:cs="Times New Roman"/>
      <w:sz w:val="21"/>
      <w:lang w:val="en-US" w:eastAsia="zh-CN" w:bidi="ar-SA"/>
    </w:rPr>
  </w:style>
  <w:style w:type="character" w:customStyle="1" w:styleId="45">
    <w:name w:val="批注文字 Char"/>
    <w:basedOn w:val="18"/>
    <w:link w:val="7"/>
    <w:semiHidden/>
    <w:qFormat/>
    <w:uiPriority w:val="99"/>
  </w:style>
  <w:style w:type="character" w:customStyle="1" w:styleId="46">
    <w:name w:val="批注主题 Char"/>
    <w:basedOn w:val="45"/>
    <w:link w:val="15"/>
    <w:semiHidden/>
    <w:qFormat/>
    <w:uiPriority w:val="99"/>
    <w:rPr>
      <w:b/>
      <w:bCs/>
    </w:rPr>
  </w:style>
  <w:style w:type="paragraph" w:customStyle="1" w:styleId="47">
    <w:name w:val="标准文件_二级条标题"/>
    <w:next w:val="41"/>
    <w:qFormat/>
    <w:uiPriority w:val="0"/>
    <w:pPr>
      <w:widowControl w:val="0"/>
      <w:numPr>
        <w:ilvl w:val="3"/>
        <w:numId w:val="4"/>
      </w:numPr>
      <w:spacing w:before="50" w:beforeLines="50" w:after="50" w:afterLines="50"/>
      <w:jc w:val="both"/>
      <w:outlineLvl w:val="2"/>
    </w:pPr>
    <w:rPr>
      <w:rFonts w:ascii="黑体" w:hAnsi="Times New Roman" w:eastAsia="黑体" w:cs="Times New Roman"/>
      <w:sz w:val="21"/>
      <w:lang w:val="en-US" w:eastAsia="zh-CN" w:bidi="ar-SA"/>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microsoft.com/office/2006/relationships/keyMapCustomizations" Target="customizations.xml"/><Relationship Id="rId13" Type="http://schemas.openxmlformats.org/officeDocument/2006/relationships/numbering" Target="numbering.xml"/><Relationship Id="rId12" Type="http://schemas.openxmlformats.org/officeDocument/2006/relationships/theme" Target="theme/theme1.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信息管理部</Company>
  <Pages>15</Pages>
  <Words>972</Words>
  <Characters>5542</Characters>
  <Lines>46</Lines>
  <Paragraphs>13</Paragraphs>
  <TotalTime>44</TotalTime>
  <ScaleCrop>false</ScaleCrop>
  <LinksUpToDate>false</LinksUpToDate>
  <CharactersWithSpaces>6501</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2023-10-20T01:43:00Z</dcterms:created>
  <dc:creator>L</dc:creator>
  <cp:lastModifiedBy>壹路上</cp:lastModifiedBy>
  <cp:lastPrinted>2021-03-09T17:00:00Z</cp:lastPrinted>
  <dcterms:modified xsi:type="dcterms:W3CDTF">2023-10-24T06:59:43Z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C82D62C8D799CE4A9723316570756E32_43</vt:lpwstr>
  </property>
</Properties>
</file>